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2C37FFB5" w:rsidR="002B4F4A" w:rsidRPr="00F47BB7" w:rsidRDefault="00CC6142" w:rsidP="00721D02">
      <w:pPr>
        <w:spacing w:after="0"/>
        <w:jc w:val="center"/>
        <w:rPr>
          <w:rFonts w:ascii="Verdana" w:hAnsi="Verdana"/>
          <w:b/>
          <w:bCs/>
          <w:sz w:val="20"/>
          <w:szCs w:val="20"/>
        </w:rPr>
      </w:pPr>
      <w:r w:rsidRPr="00F47BB7">
        <w:rPr>
          <w:rFonts w:ascii="Verdana" w:hAnsi="Verdana"/>
          <w:b/>
          <w:bCs/>
          <w:sz w:val="20"/>
          <w:szCs w:val="20"/>
        </w:rPr>
        <w:t>PARTE</w:t>
      </w:r>
      <w:r w:rsidR="00A41E5E" w:rsidRPr="00F47BB7">
        <w:rPr>
          <w:rFonts w:ascii="Verdana" w:hAnsi="Verdana"/>
          <w:b/>
          <w:bCs/>
          <w:sz w:val="20"/>
          <w:szCs w:val="20"/>
        </w:rPr>
        <w:t xml:space="preserve"> </w:t>
      </w:r>
      <w:r w:rsidR="008049EA" w:rsidRPr="00F47BB7">
        <w:rPr>
          <w:rFonts w:ascii="Verdana" w:hAnsi="Verdana"/>
          <w:b/>
          <w:bCs/>
          <w:sz w:val="20"/>
          <w:szCs w:val="20"/>
        </w:rPr>
        <w:t>3</w:t>
      </w:r>
    </w:p>
    <w:p w14:paraId="6A4B63D3" w14:textId="4CC8C234" w:rsidR="00993A68" w:rsidRPr="00F47BB7" w:rsidRDefault="00C24BB5" w:rsidP="00993A68">
      <w:pPr>
        <w:spacing w:after="0"/>
        <w:jc w:val="center"/>
        <w:rPr>
          <w:rFonts w:ascii="Verdana" w:hAnsi="Verdana"/>
          <w:b/>
          <w:bCs/>
          <w:sz w:val="20"/>
          <w:szCs w:val="20"/>
        </w:rPr>
      </w:pPr>
      <w:r w:rsidRPr="00F47BB7">
        <w:rPr>
          <w:rFonts w:ascii="Verdana" w:hAnsi="Verdana"/>
          <w:b/>
          <w:bCs/>
          <w:sz w:val="20"/>
          <w:szCs w:val="20"/>
        </w:rPr>
        <w:t>INFORMACIÓN FINANCIERA Y ESQUEMAS DE REPORTE</w:t>
      </w:r>
    </w:p>
    <w:p w14:paraId="1BF07C81" w14:textId="77777777" w:rsidR="00721D02" w:rsidRPr="00F47BB7" w:rsidRDefault="00721D02" w:rsidP="00721D02">
      <w:pPr>
        <w:spacing w:after="0"/>
        <w:jc w:val="center"/>
        <w:rPr>
          <w:rFonts w:ascii="Verdana" w:hAnsi="Verdana"/>
          <w:b/>
          <w:bCs/>
          <w:sz w:val="20"/>
          <w:szCs w:val="20"/>
        </w:rPr>
      </w:pPr>
    </w:p>
    <w:p w14:paraId="438B98D3" w14:textId="66F9D102" w:rsidR="00A41E5E" w:rsidRPr="00F47BB7" w:rsidRDefault="00A41E5E" w:rsidP="00721D02">
      <w:pPr>
        <w:spacing w:after="0"/>
        <w:jc w:val="center"/>
        <w:rPr>
          <w:rFonts w:ascii="Verdana" w:hAnsi="Verdana"/>
          <w:b/>
          <w:bCs/>
          <w:sz w:val="20"/>
          <w:szCs w:val="20"/>
        </w:rPr>
      </w:pPr>
      <w:r w:rsidRPr="00F47BB7">
        <w:rPr>
          <w:rFonts w:ascii="Verdana" w:hAnsi="Verdana"/>
          <w:b/>
          <w:bCs/>
          <w:sz w:val="20"/>
          <w:szCs w:val="20"/>
        </w:rPr>
        <w:t xml:space="preserve">CAPÍTULO </w:t>
      </w:r>
      <w:r w:rsidR="00993A68" w:rsidRPr="00F47BB7">
        <w:rPr>
          <w:rFonts w:ascii="Verdana" w:hAnsi="Verdana"/>
          <w:b/>
          <w:bCs/>
          <w:sz w:val="20"/>
          <w:szCs w:val="20"/>
        </w:rPr>
        <w:t>9</w:t>
      </w:r>
    </w:p>
    <w:p w14:paraId="5D4FF333" w14:textId="442AB774" w:rsidR="00DB4523" w:rsidRPr="00F47BB7" w:rsidRDefault="00C24BB5" w:rsidP="00DB4523">
      <w:pPr>
        <w:spacing w:after="0"/>
        <w:jc w:val="center"/>
        <w:rPr>
          <w:rFonts w:ascii="Verdana" w:hAnsi="Verdana"/>
          <w:b/>
          <w:bCs/>
          <w:sz w:val="20"/>
          <w:szCs w:val="20"/>
        </w:rPr>
      </w:pPr>
      <w:r w:rsidRPr="00F47BB7">
        <w:rPr>
          <w:rFonts w:ascii="Verdana" w:hAnsi="Verdana"/>
          <w:b/>
          <w:bCs/>
          <w:sz w:val="20"/>
          <w:szCs w:val="20"/>
        </w:rPr>
        <w:t>OPERACIONES PARTICULARES DE LAS ENTIDADES VIGILADAS</w:t>
      </w:r>
    </w:p>
    <w:p w14:paraId="3AEDBD8A" w14:textId="77777777" w:rsidR="00721D02" w:rsidRPr="00F47BB7" w:rsidRDefault="00721D02" w:rsidP="00721D02">
      <w:pPr>
        <w:spacing w:after="0"/>
        <w:jc w:val="center"/>
        <w:rPr>
          <w:rFonts w:ascii="Verdana" w:hAnsi="Verdana"/>
          <w:b/>
          <w:bCs/>
          <w:sz w:val="20"/>
          <w:szCs w:val="20"/>
        </w:rPr>
      </w:pPr>
    </w:p>
    <w:p w14:paraId="5A25184E" w14:textId="6AD9B17F" w:rsidR="00DA0C0E" w:rsidRPr="00F47BB7" w:rsidRDefault="00DA0C0E" w:rsidP="00721D02">
      <w:pPr>
        <w:spacing w:after="0"/>
        <w:jc w:val="center"/>
        <w:rPr>
          <w:rFonts w:ascii="Verdana" w:hAnsi="Verdana"/>
          <w:b/>
          <w:bCs/>
          <w:sz w:val="20"/>
          <w:szCs w:val="20"/>
        </w:rPr>
      </w:pPr>
      <w:r w:rsidRPr="00F47BB7">
        <w:rPr>
          <w:rFonts w:ascii="Verdana" w:hAnsi="Verdana"/>
          <w:b/>
          <w:bCs/>
          <w:sz w:val="20"/>
          <w:szCs w:val="20"/>
        </w:rPr>
        <w:t xml:space="preserve">SECCIÓN </w:t>
      </w:r>
      <w:r w:rsidR="009D6003" w:rsidRPr="00F47BB7">
        <w:rPr>
          <w:rFonts w:ascii="Verdana" w:hAnsi="Verdana"/>
          <w:b/>
          <w:bCs/>
          <w:sz w:val="20"/>
          <w:szCs w:val="20"/>
        </w:rPr>
        <w:t>2</w:t>
      </w:r>
    </w:p>
    <w:p w14:paraId="1277153E" w14:textId="5F9DD586" w:rsidR="008C65C4" w:rsidRPr="00F47BB7" w:rsidRDefault="00C24BB5" w:rsidP="008C65C4">
      <w:pPr>
        <w:jc w:val="center"/>
        <w:rPr>
          <w:rFonts w:ascii="Verdana" w:hAnsi="Verdana" w:cs="Arial"/>
          <w:b/>
          <w:sz w:val="20"/>
          <w:szCs w:val="20"/>
        </w:rPr>
      </w:pPr>
      <w:r w:rsidRPr="00F47BB7">
        <w:rPr>
          <w:rFonts w:ascii="Verdana" w:hAnsi="Verdana" w:cs="Arial"/>
          <w:b/>
          <w:sz w:val="20"/>
          <w:szCs w:val="20"/>
        </w:rPr>
        <w:t>REGLAS RELATIVAS A LA ADECUADA ADMINISTRACIÓN DE LOS BIENES RECIBIDOS EN DACIÓN EN PAGO</w:t>
      </w:r>
    </w:p>
    <w:p w14:paraId="74AF0E01" w14:textId="77777777" w:rsidR="004C75CE" w:rsidRPr="00F47BB7" w:rsidRDefault="004C75CE" w:rsidP="004C75CE">
      <w:pPr>
        <w:spacing w:after="0" w:line="240" w:lineRule="auto"/>
        <w:jc w:val="both"/>
        <w:rPr>
          <w:rFonts w:ascii="Verdana" w:hAnsi="Verdana" w:cs="Arial"/>
          <w:b/>
          <w:sz w:val="20"/>
          <w:szCs w:val="20"/>
        </w:rPr>
      </w:pPr>
    </w:p>
    <w:p w14:paraId="28DAA73F" w14:textId="77777777" w:rsidR="00B538FC" w:rsidRDefault="00B538FC" w:rsidP="004C75CE">
      <w:pPr>
        <w:spacing w:after="0" w:line="240" w:lineRule="auto"/>
        <w:jc w:val="both"/>
        <w:rPr>
          <w:rFonts w:ascii="Verdana" w:hAnsi="Verdana" w:cs="Arial"/>
          <w:b/>
          <w:sz w:val="20"/>
          <w:szCs w:val="20"/>
        </w:rPr>
      </w:pPr>
    </w:p>
    <w:p w14:paraId="7725DC65" w14:textId="561CC5BC" w:rsidR="0059120D" w:rsidRPr="00F47BB7" w:rsidRDefault="00B538FC" w:rsidP="004C75CE">
      <w:pPr>
        <w:spacing w:after="0" w:line="240" w:lineRule="auto"/>
        <w:jc w:val="both"/>
        <w:rPr>
          <w:rFonts w:ascii="Verdana" w:hAnsi="Verdana" w:cs="Arial"/>
          <w:b/>
          <w:sz w:val="20"/>
          <w:szCs w:val="20"/>
        </w:rPr>
      </w:pPr>
      <w:r w:rsidRPr="00F47BB7">
        <w:rPr>
          <w:rFonts w:ascii="Verdana" w:hAnsi="Verdana" w:cs="Arial"/>
          <w:b/>
          <w:sz w:val="20"/>
          <w:szCs w:val="20"/>
        </w:rPr>
        <w:t>ÁMBITO DE APLICACIÓN</w:t>
      </w:r>
    </w:p>
    <w:p w14:paraId="238979A8" w14:textId="77777777" w:rsidR="00B037BC" w:rsidRPr="00F47BB7" w:rsidRDefault="00B037BC" w:rsidP="004C75CE">
      <w:pPr>
        <w:spacing w:after="0" w:line="240" w:lineRule="auto"/>
        <w:jc w:val="both"/>
        <w:rPr>
          <w:rFonts w:ascii="Verdana" w:hAnsi="Verdana" w:cs="Arial"/>
          <w:b/>
          <w:sz w:val="20"/>
          <w:szCs w:val="20"/>
        </w:rPr>
      </w:pPr>
    </w:p>
    <w:p w14:paraId="3BC94293" w14:textId="1CD6A22F" w:rsidR="002316D9" w:rsidRPr="00F47BB7" w:rsidRDefault="002316D9" w:rsidP="002316D9">
      <w:pPr>
        <w:spacing w:after="0"/>
        <w:rPr>
          <w:rFonts w:ascii="Verdana" w:hAnsi="Verdana"/>
          <w:sz w:val="20"/>
          <w:szCs w:val="20"/>
        </w:rPr>
      </w:pPr>
      <w:r w:rsidRPr="00F47BB7">
        <w:rPr>
          <w:rFonts w:ascii="Verdana" w:hAnsi="Verdana"/>
          <w:sz w:val="20"/>
          <w:szCs w:val="20"/>
        </w:rPr>
        <w:t>3.9.</w:t>
      </w:r>
      <w:r w:rsidR="00F017CF" w:rsidRPr="00F47BB7">
        <w:rPr>
          <w:rFonts w:ascii="Verdana" w:hAnsi="Verdana"/>
          <w:sz w:val="20"/>
          <w:szCs w:val="20"/>
        </w:rPr>
        <w:t>2</w:t>
      </w:r>
      <w:r w:rsidRPr="00F47BB7">
        <w:rPr>
          <w:rFonts w:ascii="Verdana" w:hAnsi="Verdana"/>
          <w:sz w:val="20"/>
          <w:szCs w:val="20"/>
        </w:rPr>
        <w:t>.1</w:t>
      </w:r>
    </w:p>
    <w:p w14:paraId="02850F92" w14:textId="0FE7E086" w:rsidR="0059120D" w:rsidRPr="00F47BB7" w:rsidRDefault="0059120D" w:rsidP="14528289">
      <w:pPr>
        <w:spacing w:after="0"/>
        <w:jc w:val="both"/>
        <w:rPr>
          <w:rStyle w:val="normaltextrun"/>
          <w:rFonts w:ascii="Verdana" w:hAnsi="Verdana" w:cs="Arial"/>
          <w:sz w:val="20"/>
          <w:szCs w:val="20"/>
        </w:rPr>
      </w:pPr>
      <w:r w:rsidRPr="00F47BB7">
        <w:rPr>
          <w:rFonts w:ascii="Verdana" w:hAnsi="Verdana"/>
          <w:sz w:val="20"/>
          <w:szCs w:val="20"/>
        </w:rPr>
        <w:t>En concordancia</w:t>
      </w:r>
      <w:r w:rsidRPr="00F47BB7">
        <w:rPr>
          <w:rStyle w:val="normaltextrun"/>
          <w:rFonts w:ascii="Verdana" w:hAnsi="Verdana" w:cs="Arial"/>
          <w:sz w:val="20"/>
          <w:szCs w:val="20"/>
        </w:rPr>
        <w:t xml:space="preserve"> con l</w:t>
      </w:r>
      <w:r w:rsidR="00205648">
        <w:rPr>
          <w:rStyle w:val="normaltextrun"/>
          <w:rFonts w:ascii="Verdana" w:hAnsi="Verdana" w:cs="Arial"/>
          <w:sz w:val="20"/>
          <w:szCs w:val="20"/>
        </w:rPr>
        <w:t>as disposiciones de l</w:t>
      </w:r>
      <w:r w:rsidRPr="00F47BB7">
        <w:rPr>
          <w:rStyle w:val="normaltextrun"/>
          <w:rFonts w:ascii="Verdana" w:hAnsi="Verdana" w:cs="Arial"/>
          <w:sz w:val="20"/>
          <w:szCs w:val="20"/>
        </w:rPr>
        <w:t>os numerales 6 y 7 del artículo 110 del Estatuto Orgánico del Sistema Financiero</w:t>
      </w:r>
      <w:r w:rsidR="00F54BA2">
        <w:rPr>
          <w:rStyle w:val="normaltextrun"/>
          <w:rFonts w:ascii="Verdana" w:hAnsi="Verdana" w:cs="Arial"/>
          <w:sz w:val="20"/>
          <w:szCs w:val="20"/>
        </w:rPr>
        <w:t xml:space="preserve"> (EOSF)</w:t>
      </w:r>
      <w:r w:rsidRPr="00F47BB7">
        <w:rPr>
          <w:rStyle w:val="normaltextrun"/>
          <w:rFonts w:ascii="Verdana" w:hAnsi="Verdana" w:cs="Arial"/>
          <w:sz w:val="20"/>
          <w:szCs w:val="20"/>
        </w:rPr>
        <w:t xml:space="preserve">, las instrucciones del presente </w:t>
      </w:r>
      <w:r w:rsidR="00B538FC">
        <w:rPr>
          <w:rStyle w:val="normaltextrun"/>
          <w:rFonts w:ascii="Verdana" w:hAnsi="Verdana" w:cs="Arial"/>
          <w:sz w:val="20"/>
          <w:szCs w:val="20"/>
        </w:rPr>
        <w:t>c</w:t>
      </w:r>
      <w:r w:rsidRPr="00F47BB7">
        <w:rPr>
          <w:rStyle w:val="normaltextrun"/>
          <w:rFonts w:ascii="Verdana" w:hAnsi="Verdana" w:cs="Arial"/>
          <w:sz w:val="20"/>
          <w:szCs w:val="20"/>
        </w:rPr>
        <w:t>apítulo aplican a los establecimientos de crédito y las sociedades de servicios financieros</w:t>
      </w:r>
      <w:r w:rsidR="00205648">
        <w:rPr>
          <w:rStyle w:val="normaltextrun"/>
          <w:rFonts w:ascii="Verdana" w:hAnsi="Verdana" w:cs="Arial"/>
          <w:sz w:val="20"/>
          <w:szCs w:val="20"/>
        </w:rPr>
        <w:t xml:space="preserve"> vigilados por la SFC</w:t>
      </w:r>
      <w:r w:rsidRPr="00F47BB7">
        <w:rPr>
          <w:rStyle w:val="normaltextrun"/>
          <w:rFonts w:ascii="Verdana" w:hAnsi="Verdana" w:cs="Arial"/>
          <w:sz w:val="20"/>
          <w:szCs w:val="20"/>
        </w:rPr>
        <w:t xml:space="preserve">. </w:t>
      </w:r>
    </w:p>
    <w:p w14:paraId="576504E8" w14:textId="77777777" w:rsidR="00092D6B" w:rsidRPr="00F47BB7" w:rsidRDefault="00092D6B" w:rsidP="00B05C59">
      <w:pPr>
        <w:spacing w:after="0"/>
        <w:rPr>
          <w:rStyle w:val="normaltextrun"/>
          <w:rFonts w:ascii="Verdana" w:hAnsi="Verdana" w:cs="Arial"/>
          <w:sz w:val="20"/>
          <w:szCs w:val="20"/>
        </w:rPr>
      </w:pPr>
    </w:p>
    <w:p w14:paraId="3A16C6FF" w14:textId="1CAE2A81" w:rsidR="00092D6B" w:rsidRPr="00F47BB7" w:rsidRDefault="00092D6B" w:rsidP="00092D6B">
      <w:pPr>
        <w:spacing w:after="0"/>
        <w:rPr>
          <w:rFonts w:ascii="Verdana" w:hAnsi="Verdana"/>
          <w:sz w:val="20"/>
          <w:szCs w:val="20"/>
        </w:rPr>
      </w:pPr>
      <w:r w:rsidRPr="00F47BB7">
        <w:rPr>
          <w:rFonts w:ascii="Verdana" w:hAnsi="Verdana"/>
          <w:sz w:val="20"/>
          <w:szCs w:val="20"/>
        </w:rPr>
        <w:t>3.9.2.</w:t>
      </w:r>
      <w:r w:rsidR="00C861F6" w:rsidRPr="00F47BB7">
        <w:rPr>
          <w:rFonts w:ascii="Verdana" w:hAnsi="Verdana"/>
          <w:sz w:val="20"/>
          <w:szCs w:val="20"/>
        </w:rPr>
        <w:t>2</w:t>
      </w:r>
    </w:p>
    <w:p w14:paraId="0B95F48C" w14:textId="28B6C879" w:rsidR="0059120D" w:rsidRPr="00F47BB7" w:rsidRDefault="00205648" w:rsidP="14528289">
      <w:pPr>
        <w:suppressAutoHyphens/>
        <w:jc w:val="both"/>
        <w:rPr>
          <w:rFonts w:ascii="Verdana" w:hAnsi="Verdana" w:cs="Arial"/>
          <w:sz w:val="20"/>
          <w:szCs w:val="20"/>
        </w:rPr>
      </w:pPr>
      <w:r>
        <w:rPr>
          <w:rFonts w:ascii="Verdana" w:hAnsi="Verdana" w:cs="Arial"/>
          <w:sz w:val="20"/>
          <w:szCs w:val="20"/>
        </w:rPr>
        <w:t>De conformidad con la instrucción legal antes señalada, l</w:t>
      </w:r>
      <w:r w:rsidR="0059120D" w:rsidRPr="00F47BB7">
        <w:rPr>
          <w:rFonts w:ascii="Verdana" w:hAnsi="Verdana" w:cs="Arial"/>
          <w:sz w:val="20"/>
          <w:szCs w:val="20"/>
        </w:rPr>
        <w:t xml:space="preserve">a recepción de bienes en dación en pago </w:t>
      </w:r>
      <w:r w:rsidR="0059120D" w:rsidRPr="00B538FC">
        <w:rPr>
          <w:rFonts w:ascii="Verdana" w:hAnsi="Verdana" w:cs="Arial"/>
          <w:sz w:val="20"/>
          <w:szCs w:val="20"/>
        </w:rPr>
        <w:t>(BRDP) debe</w:t>
      </w:r>
      <w:r w:rsidR="0059120D" w:rsidRPr="00F47BB7">
        <w:rPr>
          <w:rFonts w:ascii="Verdana" w:hAnsi="Verdana" w:cs="Arial"/>
          <w:sz w:val="20"/>
          <w:szCs w:val="20"/>
        </w:rPr>
        <w:t xml:space="preserve"> entenderse siempre como un mecanismo excepcional para recuperar </w:t>
      </w:r>
      <w:r>
        <w:rPr>
          <w:rFonts w:ascii="Verdana" w:hAnsi="Verdana" w:cs="Arial"/>
          <w:sz w:val="20"/>
          <w:szCs w:val="20"/>
        </w:rPr>
        <w:t>los</w:t>
      </w:r>
      <w:r w:rsidR="0059120D" w:rsidRPr="00F47BB7">
        <w:rPr>
          <w:rFonts w:ascii="Verdana" w:hAnsi="Verdana" w:cs="Arial"/>
          <w:sz w:val="20"/>
          <w:szCs w:val="20"/>
        </w:rPr>
        <w:t xml:space="preserve"> recursos que tienen la vocación principal de ser colocados o administrados de acuerdo con la actividad reglada </w:t>
      </w:r>
      <w:r>
        <w:rPr>
          <w:rFonts w:ascii="Verdana" w:hAnsi="Verdana" w:cs="Arial"/>
          <w:sz w:val="20"/>
          <w:szCs w:val="20"/>
        </w:rPr>
        <w:t xml:space="preserve">para </w:t>
      </w:r>
      <w:r w:rsidR="0059120D" w:rsidRPr="00F47BB7">
        <w:rPr>
          <w:rFonts w:ascii="Verdana" w:hAnsi="Verdana" w:cs="Arial"/>
          <w:sz w:val="20"/>
          <w:szCs w:val="20"/>
        </w:rPr>
        <w:t>los establecimientos de crédito y las sociedades de servicios financieros y que, por tal motivo, tales bienes deben ser enajenados dentro de los plazos establecidos en el E</w:t>
      </w:r>
      <w:r w:rsidR="005D38DF">
        <w:rPr>
          <w:rFonts w:ascii="Verdana" w:hAnsi="Verdana" w:cs="Arial"/>
          <w:sz w:val="20"/>
          <w:szCs w:val="20"/>
        </w:rPr>
        <w:t>OSF</w:t>
      </w:r>
      <w:r w:rsidR="0059120D" w:rsidRPr="00F47BB7">
        <w:rPr>
          <w:rFonts w:ascii="Verdana" w:hAnsi="Verdana" w:cs="Arial"/>
          <w:sz w:val="20"/>
          <w:szCs w:val="20"/>
        </w:rPr>
        <w:t>.</w:t>
      </w:r>
    </w:p>
    <w:p w14:paraId="0604787A" w14:textId="056DFD49" w:rsidR="0059120D" w:rsidRPr="00F47BB7" w:rsidRDefault="00B538FC" w:rsidP="0059120D">
      <w:pPr>
        <w:suppressAutoHyphens/>
        <w:jc w:val="both"/>
        <w:rPr>
          <w:rFonts w:ascii="Verdana" w:hAnsi="Verdana" w:cs="Arial"/>
          <w:b/>
          <w:sz w:val="20"/>
          <w:szCs w:val="20"/>
        </w:rPr>
      </w:pPr>
      <w:r w:rsidRPr="00F47BB7">
        <w:rPr>
          <w:rFonts w:ascii="Verdana" w:hAnsi="Verdana" w:cs="Arial"/>
          <w:b/>
          <w:sz w:val="20"/>
          <w:szCs w:val="20"/>
        </w:rPr>
        <w:t xml:space="preserve">SISTEMA DE ADMINISTRACIÓN BRDP </w:t>
      </w:r>
    </w:p>
    <w:p w14:paraId="0475D563" w14:textId="23E1961A" w:rsidR="005E4BA8" w:rsidRPr="00F47BB7" w:rsidRDefault="005E4BA8" w:rsidP="005E4BA8">
      <w:pPr>
        <w:spacing w:after="0"/>
        <w:rPr>
          <w:rFonts w:ascii="Verdana" w:hAnsi="Verdana"/>
          <w:sz w:val="20"/>
          <w:szCs w:val="20"/>
        </w:rPr>
      </w:pPr>
      <w:r w:rsidRPr="00F47BB7">
        <w:rPr>
          <w:rFonts w:ascii="Verdana" w:hAnsi="Verdana"/>
          <w:sz w:val="20"/>
          <w:szCs w:val="20"/>
        </w:rPr>
        <w:t>3.9.2.</w:t>
      </w:r>
      <w:r w:rsidR="00D101F4" w:rsidRPr="00F47BB7">
        <w:rPr>
          <w:rFonts w:ascii="Verdana" w:hAnsi="Verdana"/>
          <w:sz w:val="20"/>
          <w:szCs w:val="20"/>
        </w:rPr>
        <w:t>3</w:t>
      </w:r>
    </w:p>
    <w:p w14:paraId="1A30C8A8" w14:textId="2B6812F6" w:rsidR="0059120D" w:rsidRPr="00F47BB7" w:rsidRDefault="00BF65C1" w:rsidP="14528289">
      <w:pPr>
        <w:suppressAutoHyphens/>
        <w:jc w:val="both"/>
        <w:rPr>
          <w:rFonts w:ascii="Verdana" w:hAnsi="Verdana" w:cs="Arial"/>
          <w:sz w:val="20"/>
          <w:szCs w:val="20"/>
        </w:rPr>
      </w:pPr>
      <w:r>
        <w:rPr>
          <w:rFonts w:ascii="Verdana" w:hAnsi="Verdana" w:cs="Arial"/>
          <w:sz w:val="20"/>
          <w:szCs w:val="20"/>
        </w:rPr>
        <w:t xml:space="preserve">Para </w:t>
      </w:r>
      <w:r w:rsidR="005D38DF">
        <w:rPr>
          <w:rFonts w:ascii="Verdana" w:hAnsi="Verdana" w:cs="Arial"/>
          <w:sz w:val="20"/>
          <w:szCs w:val="20"/>
        </w:rPr>
        <w:t>dar cumplimi</w:t>
      </w:r>
      <w:r>
        <w:rPr>
          <w:rFonts w:ascii="Verdana" w:hAnsi="Verdana" w:cs="Arial"/>
          <w:sz w:val="20"/>
          <w:szCs w:val="20"/>
        </w:rPr>
        <w:t>en</w:t>
      </w:r>
      <w:r w:rsidR="005D38DF">
        <w:rPr>
          <w:rFonts w:ascii="Verdana" w:hAnsi="Verdana" w:cs="Arial"/>
          <w:sz w:val="20"/>
          <w:szCs w:val="20"/>
        </w:rPr>
        <w:t xml:space="preserve">to a las </w:t>
      </w:r>
      <w:r w:rsidR="0059120D" w:rsidRPr="00F47BB7">
        <w:rPr>
          <w:rFonts w:ascii="Verdana" w:hAnsi="Verdana" w:cs="Arial"/>
          <w:sz w:val="20"/>
          <w:szCs w:val="20"/>
        </w:rPr>
        <w:t>disp</w:t>
      </w:r>
      <w:r w:rsidR="005D38DF">
        <w:rPr>
          <w:rFonts w:ascii="Verdana" w:hAnsi="Verdana" w:cs="Arial"/>
          <w:sz w:val="20"/>
          <w:szCs w:val="20"/>
        </w:rPr>
        <w:t xml:space="preserve">osiciones de </w:t>
      </w:r>
      <w:r w:rsidR="0059120D" w:rsidRPr="00F47BB7">
        <w:rPr>
          <w:rFonts w:ascii="Verdana" w:hAnsi="Verdana" w:cs="Arial"/>
          <w:sz w:val="20"/>
          <w:szCs w:val="20"/>
        </w:rPr>
        <w:t xml:space="preserve">los numerales 6 y 7 del artículo </w:t>
      </w:r>
      <w:r w:rsidR="005D38DF">
        <w:rPr>
          <w:rFonts w:ascii="Verdana" w:hAnsi="Verdana" w:cs="Arial"/>
          <w:sz w:val="20"/>
          <w:szCs w:val="20"/>
        </w:rPr>
        <w:t xml:space="preserve">110 </w:t>
      </w:r>
      <w:r w:rsidR="0059120D" w:rsidRPr="00F47BB7">
        <w:rPr>
          <w:rFonts w:ascii="Verdana" w:hAnsi="Verdana" w:cs="Arial"/>
          <w:sz w:val="20"/>
          <w:szCs w:val="20"/>
        </w:rPr>
        <w:t>del E</w:t>
      </w:r>
      <w:r w:rsidR="005D38DF">
        <w:rPr>
          <w:rFonts w:ascii="Verdana" w:hAnsi="Verdana" w:cs="Arial"/>
          <w:sz w:val="20"/>
          <w:szCs w:val="20"/>
        </w:rPr>
        <w:t>OSF</w:t>
      </w:r>
      <w:r w:rsidR="0059120D" w:rsidRPr="00F47BB7">
        <w:rPr>
          <w:rFonts w:ascii="Verdana" w:hAnsi="Verdana" w:cs="Arial"/>
          <w:sz w:val="20"/>
          <w:szCs w:val="20"/>
        </w:rPr>
        <w:t>, los establecimientos de crédito y las sociedades de servicios financieros deben contar con un sistema de administración de BRDP que les permita gestionar adecuadamente</w:t>
      </w:r>
      <w:r w:rsidR="00BD4A16">
        <w:rPr>
          <w:rFonts w:ascii="Verdana" w:hAnsi="Verdana" w:cs="Arial"/>
          <w:sz w:val="20"/>
          <w:szCs w:val="20"/>
        </w:rPr>
        <w:t xml:space="preserve"> estos activos</w:t>
      </w:r>
      <w:r w:rsidR="0059120D" w:rsidRPr="00F47BB7">
        <w:rPr>
          <w:rFonts w:ascii="Verdana" w:hAnsi="Verdana" w:cs="Arial"/>
          <w:sz w:val="20"/>
          <w:szCs w:val="20"/>
        </w:rPr>
        <w:t xml:space="preserve">, con el propósito de enajenarlos dentro de los plazos establecidos en </w:t>
      </w:r>
      <w:r w:rsidR="00BD4A16">
        <w:rPr>
          <w:rFonts w:ascii="Verdana" w:hAnsi="Verdana" w:cs="Arial"/>
          <w:sz w:val="20"/>
          <w:szCs w:val="20"/>
        </w:rPr>
        <w:t>EOSF. Igualmente, las entidades</w:t>
      </w:r>
      <w:r w:rsidR="0059120D" w:rsidRPr="00F47BB7">
        <w:rPr>
          <w:rFonts w:ascii="Verdana" w:hAnsi="Verdana" w:cs="Arial"/>
          <w:sz w:val="20"/>
          <w:szCs w:val="20"/>
        </w:rPr>
        <w:t xml:space="preserve"> deben calcular el nivel de provisiones necesarias para cubrir la pérdida esperada derivada de la no enajenación de </w:t>
      </w:r>
      <w:proofErr w:type="gramStart"/>
      <w:r w:rsidR="0059120D" w:rsidRPr="00F47BB7">
        <w:rPr>
          <w:rFonts w:ascii="Verdana" w:hAnsi="Verdana" w:cs="Arial"/>
          <w:sz w:val="20"/>
          <w:szCs w:val="20"/>
        </w:rPr>
        <w:t>los mismos</w:t>
      </w:r>
      <w:proofErr w:type="gramEnd"/>
      <w:r w:rsidR="00DA7CA9">
        <w:rPr>
          <w:rFonts w:ascii="Verdana" w:hAnsi="Verdana" w:cs="Arial"/>
          <w:sz w:val="20"/>
          <w:szCs w:val="20"/>
        </w:rPr>
        <w:t>,</w:t>
      </w:r>
      <w:r w:rsidR="0059120D" w:rsidRPr="00F47BB7">
        <w:rPr>
          <w:rFonts w:ascii="Verdana" w:hAnsi="Verdana" w:cs="Arial"/>
          <w:sz w:val="20"/>
          <w:szCs w:val="20"/>
        </w:rPr>
        <w:t xml:space="preserve"> dentro de los plazos establecidos en dicha norma. </w:t>
      </w:r>
    </w:p>
    <w:p w14:paraId="5024C011" w14:textId="243307AA" w:rsidR="006B54BE" w:rsidRPr="00F47BB7" w:rsidRDefault="006B54BE" w:rsidP="006B54BE">
      <w:pPr>
        <w:spacing w:after="0"/>
        <w:rPr>
          <w:rFonts w:ascii="Verdana" w:hAnsi="Verdana"/>
          <w:sz w:val="20"/>
          <w:szCs w:val="20"/>
        </w:rPr>
      </w:pPr>
      <w:r w:rsidRPr="00F47BB7">
        <w:rPr>
          <w:rFonts w:ascii="Verdana" w:hAnsi="Verdana"/>
          <w:sz w:val="20"/>
          <w:szCs w:val="20"/>
        </w:rPr>
        <w:t>3.9.2.4</w:t>
      </w:r>
    </w:p>
    <w:p w14:paraId="67B7FF9D" w14:textId="5F957E77"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 xml:space="preserve">El sistema de administración que para el efecto diseñen las entidades </w:t>
      </w:r>
      <w:r w:rsidR="00DA7CA9">
        <w:rPr>
          <w:rFonts w:ascii="Verdana" w:hAnsi="Verdana" w:cs="Arial"/>
          <w:sz w:val="20"/>
          <w:szCs w:val="20"/>
        </w:rPr>
        <w:t xml:space="preserve">vigiladas </w:t>
      </w:r>
      <w:r w:rsidRPr="00F47BB7">
        <w:rPr>
          <w:rFonts w:ascii="Verdana" w:hAnsi="Verdana" w:cs="Arial"/>
          <w:sz w:val="20"/>
          <w:szCs w:val="20"/>
        </w:rPr>
        <w:t>a que se refiere el presente numeral, debe incluir los siguientes parámetros:</w:t>
      </w:r>
    </w:p>
    <w:p w14:paraId="699289AD" w14:textId="77777777" w:rsidR="0059120D" w:rsidRPr="00F47BB7" w:rsidRDefault="0059120D" w:rsidP="00C36A77">
      <w:pPr>
        <w:numPr>
          <w:ilvl w:val="0"/>
          <w:numId w:val="4"/>
        </w:numPr>
        <w:tabs>
          <w:tab w:val="clear" w:pos="720"/>
          <w:tab w:val="num" w:pos="567"/>
        </w:tabs>
        <w:suppressAutoHyphens/>
        <w:spacing w:after="0" w:line="240" w:lineRule="auto"/>
        <w:ind w:left="567" w:hanging="567"/>
        <w:jc w:val="both"/>
        <w:rPr>
          <w:rFonts w:ascii="Verdana" w:hAnsi="Verdana" w:cs="Arial"/>
          <w:sz w:val="20"/>
          <w:szCs w:val="20"/>
        </w:rPr>
      </w:pPr>
      <w:r w:rsidRPr="00F47BB7">
        <w:rPr>
          <w:rFonts w:ascii="Verdana" w:hAnsi="Verdana" w:cs="Arial"/>
          <w:sz w:val="20"/>
          <w:szCs w:val="20"/>
        </w:rPr>
        <w:t>Políticas de la entidad en materia de aceptación y administración de BRDP.</w:t>
      </w:r>
    </w:p>
    <w:p w14:paraId="6276122D" w14:textId="77777777" w:rsidR="006B0B52" w:rsidRDefault="006B0B52" w:rsidP="006B0B52">
      <w:pPr>
        <w:suppressAutoHyphens/>
        <w:spacing w:after="0" w:line="240" w:lineRule="auto"/>
        <w:ind w:left="567"/>
        <w:jc w:val="both"/>
        <w:rPr>
          <w:rFonts w:ascii="Verdana" w:hAnsi="Verdana" w:cs="Arial"/>
          <w:sz w:val="20"/>
          <w:szCs w:val="20"/>
        </w:rPr>
      </w:pPr>
    </w:p>
    <w:p w14:paraId="35B8AADC" w14:textId="1FE4E8FF" w:rsidR="0059120D" w:rsidRPr="00F47BB7" w:rsidRDefault="0059120D" w:rsidP="00C36A77">
      <w:pPr>
        <w:numPr>
          <w:ilvl w:val="0"/>
          <w:numId w:val="4"/>
        </w:numPr>
        <w:tabs>
          <w:tab w:val="clear" w:pos="720"/>
          <w:tab w:val="num" w:pos="567"/>
        </w:tabs>
        <w:suppressAutoHyphens/>
        <w:spacing w:after="0" w:line="240" w:lineRule="auto"/>
        <w:ind w:left="567" w:hanging="567"/>
        <w:jc w:val="both"/>
        <w:rPr>
          <w:rFonts w:ascii="Verdana" w:hAnsi="Verdana" w:cs="Arial"/>
          <w:sz w:val="20"/>
          <w:szCs w:val="20"/>
        </w:rPr>
      </w:pPr>
      <w:r w:rsidRPr="00F47BB7">
        <w:rPr>
          <w:rFonts w:ascii="Verdana" w:hAnsi="Verdana" w:cs="Arial"/>
          <w:sz w:val="20"/>
          <w:szCs w:val="20"/>
        </w:rPr>
        <w:t>Procedimientos que establezcan con claridad responsabilidades, deberes y facultades de los distintos órganos de dirección y administración en relación con la aceptación de bienes en pago y el proceso de custodia y enajenación de BRDP.</w:t>
      </w:r>
    </w:p>
    <w:p w14:paraId="4604ABF7" w14:textId="77777777" w:rsidR="006B0B52" w:rsidRDefault="006B0B52" w:rsidP="006B0B52">
      <w:pPr>
        <w:suppressAutoHyphens/>
        <w:spacing w:after="0" w:line="240" w:lineRule="auto"/>
        <w:ind w:left="567"/>
        <w:jc w:val="both"/>
        <w:rPr>
          <w:rFonts w:ascii="Verdana" w:hAnsi="Verdana" w:cs="Arial"/>
          <w:sz w:val="20"/>
          <w:szCs w:val="20"/>
        </w:rPr>
      </w:pPr>
    </w:p>
    <w:p w14:paraId="087F7AD0" w14:textId="66A43EA8" w:rsidR="0059120D" w:rsidRPr="00F47BB7" w:rsidRDefault="0059120D" w:rsidP="00C36A77">
      <w:pPr>
        <w:numPr>
          <w:ilvl w:val="0"/>
          <w:numId w:val="4"/>
        </w:numPr>
        <w:tabs>
          <w:tab w:val="clear" w:pos="720"/>
          <w:tab w:val="num" w:pos="567"/>
        </w:tabs>
        <w:suppressAutoHyphens/>
        <w:spacing w:after="0" w:line="240" w:lineRule="auto"/>
        <w:ind w:left="567" w:hanging="567"/>
        <w:jc w:val="both"/>
        <w:rPr>
          <w:rFonts w:ascii="Verdana" w:hAnsi="Verdana" w:cs="Arial"/>
          <w:sz w:val="20"/>
          <w:szCs w:val="20"/>
        </w:rPr>
      </w:pPr>
      <w:r w:rsidRPr="00F47BB7">
        <w:rPr>
          <w:rFonts w:ascii="Verdana" w:hAnsi="Verdana" w:cs="Arial"/>
          <w:sz w:val="20"/>
          <w:szCs w:val="20"/>
        </w:rPr>
        <w:t xml:space="preserve">Mecanismos que permitan estimar la pérdida esperada por la no enajenación de tales activos dentro de los plazos establecidos en la norma y cuantificar las provisiones. </w:t>
      </w:r>
    </w:p>
    <w:p w14:paraId="64EE7396" w14:textId="77777777" w:rsidR="006B0B52" w:rsidRDefault="006B0B52" w:rsidP="006B0B52">
      <w:pPr>
        <w:suppressAutoHyphens/>
        <w:spacing w:after="0" w:line="240" w:lineRule="auto"/>
        <w:ind w:left="567"/>
        <w:jc w:val="both"/>
        <w:rPr>
          <w:rFonts w:ascii="Verdana" w:hAnsi="Verdana" w:cs="Arial"/>
          <w:sz w:val="20"/>
          <w:szCs w:val="20"/>
        </w:rPr>
      </w:pPr>
    </w:p>
    <w:p w14:paraId="0BE40F52" w14:textId="77777777" w:rsidR="00B146E2" w:rsidRDefault="0059120D" w:rsidP="00025D31">
      <w:pPr>
        <w:numPr>
          <w:ilvl w:val="0"/>
          <w:numId w:val="4"/>
        </w:numPr>
        <w:tabs>
          <w:tab w:val="clear" w:pos="720"/>
          <w:tab w:val="num" w:pos="567"/>
        </w:tabs>
        <w:suppressAutoHyphens/>
        <w:spacing w:after="0" w:line="240" w:lineRule="auto"/>
        <w:ind w:left="567" w:hanging="567"/>
        <w:jc w:val="both"/>
        <w:rPr>
          <w:rFonts w:ascii="Verdana" w:hAnsi="Verdana" w:cs="Arial"/>
          <w:sz w:val="20"/>
          <w:szCs w:val="20"/>
        </w:rPr>
      </w:pPr>
      <w:r w:rsidRPr="00F47BB7">
        <w:rPr>
          <w:rFonts w:ascii="Verdana" w:hAnsi="Verdana" w:cs="Arial"/>
          <w:sz w:val="20"/>
          <w:szCs w:val="20"/>
        </w:rPr>
        <w:t xml:space="preserve">Procedimientos de control del sistema. </w:t>
      </w:r>
    </w:p>
    <w:p w14:paraId="2DA191B9" w14:textId="77777777" w:rsidR="00B146E2" w:rsidRDefault="00B146E2" w:rsidP="00B146E2">
      <w:pPr>
        <w:suppressAutoHyphens/>
        <w:spacing w:after="0" w:line="240" w:lineRule="auto"/>
        <w:jc w:val="both"/>
        <w:rPr>
          <w:rFonts w:ascii="Verdana" w:hAnsi="Verdana" w:cs="Arial"/>
          <w:b/>
          <w:sz w:val="20"/>
          <w:szCs w:val="20"/>
        </w:rPr>
      </w:pPr>
    </w:p>
    <w:p w14:paraId="4F9022E3" w14:textId="374E0536" w:rsidR="0059120D" w:rsidRPr="00B146E2" w:rsidRDefault="0059120D" w:rsidP="00B146E2">
      <w:pPr>
        <w:suppressAutoHyphens/>
        <w:spacing w:after="0" w:line="240" w:lineRule="auto"/>
        <w:jc w:val="both"/>
        <w:rPr>
          <w:rFonts w:ascii="Verdana" w:hAnsi="Verdana" w:cs="Arial"/>
          <w:sz w:val="20"/>
          <w:szCs w:val="20"/>
        </w:rPr>
      </w:pPr>
      <w:r w:rsidRPr="00B146E2">
        <w:rPr>
          <w:rFonts w:ascii="Verdana" w:hAnsi="Verdana" w:cs="Arial"/>
          <w:b/>
          <w:sz w:val="20"/>
          <w:szCs w:val="20"/>
        </w:rPr>
        <w:t>Políticas en materia de aceptación y administración de BRDP</w:t>
      </w:r>
    </w:p>
    <w:p w14:paraId="55418ECD" w14:textId="77777777" w:rsidR="00B146E2" w:rsidRDefault="00B146E2" w:rsidP="00025D31">
      <w:pPr>
        <w:spacing w:after="0"/>
        <w:rPr>
          <w:rFonts w:ascii="Verdana" w:hAnsi="Verdana" w:cs="Arial"/>
          <w:sz w:val="20"/>
          <w:szCs w:val="20"/>
        </w:rPr>
      </w:pPr>
    </w:p>
    <w:p w14:paraId="07ACE45F" w14:textId="06D93136" w:rsidR="00025D31" w:rsidRPr="00F47BB7" w:rsidRDefault="00025D31" w:rsidP="00025D31">
      <w:pPr>
        <w:spacing w:after="0"/>
        <w:rPr>
          <w:rFonts w:ascii="Verdana" w:hAnsi="Verdana"/>
          <w:sz w:val="20"/>
          <w:szCs w:val="20"/>
        </w:rPr>
      </w:pPr>
      <w:r w:rsidRPr="00F47BB7">
        <w:rPr>
          <w:rFonts w:ascii="Verdana" w:hAnsi="Verdana"/>
          <w:sz w:val="20"/>
          <w:szCs w:val="20"/>
        </w:rPr>
        <w:t>3.9.2.</w:t>
      </w:r>
      <w:r w:rsidR="00840DD3" w:rsidRPr="00F47BB7">
        <w:rPr>
          <w:rFonts w:ascii="Verdana" w:hAnsi="Verdana"/>
          <w:sz w:val="20"/>
          <w:szCs w:val="20"/>
        </w:rPr>
        <w:t>5</w:t>
      </w:r>
    </w:p>
    <w:p w14:paraId="307FECB0" w14:textId="77777777"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La política que en esta materia se adopte debe considerar:</w:t>
      </w:r>
    </w:p>
    <w:p w14:paraId="21159A4F" w14:textId="77777777" w:rsidR="000F5B27" w:rsidRDefault="0059120D" w:rsidP="000F5B27">
      <w:pPr>
        <w:pStyle w:val="Prrafodelista"/>
        <w:numPr>
          <w:ilvl w:val="0"/>
          <w:numId w:val="5"/>
        </w:numPr>
        <w:suppressAutoHyphens/>
        <w:spacing w:after="0" w:line="240" w:lineRule="auto"/>
        <w:ind w:left="567" w:hanging="567"/>
        <w:jc w:val="both"/>
        <w:rPr>
          <w:rFonts w:ascii="Verdana" w:hAnsi="Verdana" w:cs="Arial"/>
          <w:sz w:val="20"/>
          <w:szCs w:val="20"/>
        </w:rPr>
      </w:pPr>
      <w:r w:rsidRPr="00F47BB7">
        <w:rPr>
          <w:rFonts w:ascii="Verdana" w:hAnsi="Verdana" w:cs="Arial"/>
          <w:sz w:val="20"/>
          <w:szCs w:val="20"/>
        </w:rPr>
        <w:t>Los parámetros que tendrá en cuenta la entidad para aceptar bienes en dación para el pago de obligaciones previamente contraídas por terceros de modo que se procure recibir bienes que se ajusten a su régimen legal y que gocen de características adecuadas para ser enajenados y obtener la mejor recuperación posible de los recursos expuestos.</w:t>
      </w:r>
    </w:p>
    <w:p w14:paraId="6CAE1EA9" w14:textId="77777777" w:rsidR="000F5B27" w:rsidRDefault="000F5B27" w:rsidP="000F5B27">
      <w:pPr>
        <w:pStyle w:val="Prrafodelista"/>
        <w:suppressAutoHyphens/>
        <w:spacing w:after="0" w:line="240" w:lineRule="auto"/>
        <w:ind w:left="567"/>
        <w:jc w:val="both"/>
        <w:rPr>
          <w:rFonts w:ascii="Verdana" w:hAnsi="Verdana" w:cs="Arial"/>
          <w:sz w:val="20"/>
          <w:szCs w:val="20"/>
        </w:rPr>
      </w:pPr>
    </w:p>
    <w:p w14:paraId="7C7F9B7C" w14:textId="77777777" w:rsidR="00356203" w:rsidRDefault="0059120D" w:rsidP="00356203">
      <w:pPr>
        <w:pStyle w:val="Prrafodelista"/>
        <w:numPr>
          <w:ilvl w:val="0"/>
          <w:numId w:val="5"/>
        </w:numPr>
        <w:suppressAutoHyphens/>
        <w:spacing w:after="0" w:line="240" w:lineRule="auto"/>
        <w:ind w:left="567" w:hanging="567"/>
        <w:jc w:val="both"/>
        <w:rPr>
          <w:rFonts w:ascii="Verdana" w:hAnsi="Verdana" w:cs="Arial"/>
          <w:sz w:val="20"/>
          <w:szCs w:val="20"/>
        </w:rPr>
      </w:pPr>
      <w:r w:rsidRPr="000F5B27">
        <w:rPr>
          <w:rFonts w:ascii="Verdana" w:hAnsi="Verdana" w:cs="Arial"/>
          <w:sz w:val="20"/>
          <w:szCs w:val="20"/>
        </w:rPr>
        <w:t xml:space="preserve">Que dichos activos se adquieren con carácter temporal y, en consecuencia, el estado de situación financiera debe reflejar si la enajenación se ha llevado a cabo o no dentro del plazo máximo legal. </w:t>
      </w:r>
    </w:p>
    <w:p w14:paraId="467CD2DE" w14:textId="77777777" w:rsidR="00356203" w:rsidRPr="00356203" w:rsidRDefault="00356203" w:rsidP="00356203">
      <w:pPr>
        <w:pStyle w:val="Prrafodelista"/>
        <w:rPr>
          <w:rFonts w:ascii="Verdana" w:hAnsi="Verdana" w:cs="Arial"/>
          <w:sz w:val="20"/>
          <w:szCs w:val="20"/>
        </w:rPr>
      </w:pPr>
    </w:p>
    <w:p w14:paraId="5C0670E2" w14:textId="73BEDF0B" w:rsidR="0059120D" w:rsidRPr="00356203" w:rsidRDefault="0059120D" w:rsidP="00356203">
      <w:pPr>
        <w:pStyle w:val="Prrafodelista"/>
        <w:numPr>
          <w:ilvl w:val="0"/>
          <w:numId w:val="5"/>
        </w:numPr>
        <w:suppressAutoHyphens/>
        <w:spacing w:after="0" w:line="240" w:lineRule="auto"/>
        <w:ind w:left="567" w:hanging="567"/>
        <w:jc w:val="both"/>
        <w:rPr>
          <w:rFonts w:ascii="Verdana" w:hAnsi="Verdana" w:cs="Arial"/>
          <w:sz w:val="20"/>
          <w:szCs w:val="20"/>
        </w:rPr>
      </w:pPr>
      <w:r w:rsidRPr="00356203">
        <w:rPr>
          <w:rFonts w:ascii="Verdana" w:hAnsi="Verdana" w:cs="Arial"/>
          <w:sz w:val="20"/>
          <w:szCs w:val="20"/>
        </w:rPr>
        <w:t>Deben desarrollarse de manera razonablemente acorde con el sistema de administración de riesgo crediticio del SIAR, toda vez que la excesiva acumulación de esta clase de activos puede reflejar problemas en la gestión del riesgo crediticio.</w:t>
      </w:r>
    </w:p>
    <w:p w14:paraId="70049CEA" w14:textId="77777777" w:rsidR="00356203" w:rsidRDefault="00356203" w:rsidP="00840DD3">
      <w:pPr>
        <w:suppressAutoHyphens/>
        <w:spacing w:after="0" w:line="240" w:lineRule="auto"/>
        <w:jc w:val="both"/>
        <w:rPr>
          <w:rFonts w:ascii="Verdana" w:hAnsi="Verdana" w:cs="Arial"/>
          <w:b/>
          <w:sz w:val="20"/>
          <w:szCs w:val="20"/>
        </w:rPr>
      </w:pPr>
    </w:p>
    <w:p w14:paraId="7DAC67BA" w14:textId="63ADEF5D" w:rsidR="0059120D" w:rsidRPr="00F47BB7" w:rsidRDefault="0059120D" w:rsidP="00840DD3">
      <w:pPr>
        <w:suppressAutoHyphens/>
        <w:spacing w:after="0" w:line="240" w:lineRule="auto"/>
        <w:jc w:val="both"/>
        <w:rPr>
          <w:rFonts w:ascii="Verdana" w:hAnsi="Verdana" w:cs="Arial"/>
          <w:b/>
          <w:sz w:val="20"/>
          <w:szCs w:val="20"/>
        </w:rPr>
      </w:pPr>
      <w:r w:rsidRPr="00F47BB7">
        <w:rPr>
          <w:rFonts w:ascii="Verdana" w:hAnsi="Verdana" w:cs="Arial"/>
          <w:b/>
          <w:sz w:val="20"/>
          <w:szCs w:val="20"/>
        </w:rPr>
        <w:t>Procedimientos para la aceptación, administración y enajenación de los BRDP</w:t>
      </w:r>
    </w:p>
    <w:p w14:paraId="6122D73B" w14:textId="77777777" w:rsidR="00356203" w:rsidRDefault="00356203" w:rsidP="00507D51">
      <w:pPr>
        <w:spacing w:after="0"/>
        <w:rPr>
          <w:rFonts w:ascii="Verdana" w:hAnsi="Verdana" w:cs="Arial"/>
          <w:sz w:val="20"/>
          <w:szCs w:val="20"/>
        </w:rPr>
      </w:pPr>
    </w:p>
    <w:p w14:paraId="751C3062" w14:textId="07FF1DB1" w:rsidR="00507D51" w:rsidRPr="00F47BB7" w:rsidRDefault="00507D51" w:rsidP="00507D51">
      <w:pPr>
        <w:spacing w:after="0"/>
        <w:rPr>
          <w:rFonts w:ascii="Verdana" w:hAnsi="Verdana"/>
          <w:sz w:val="20"/>
          <w:szCs w:val="20"/>
        </w:rPr>
      </w:pPr>
      <w:r w:rsidRPr="00F47BB7">
        <w:rPr>
          <w:rFonts w:ascii="Verdana" w:hAnsi="Verdana"/>
          <w:sz w:val="20"/>
          <w:szCs w:val="20"/>
        </w:rPr>
        <w:t>3.9.2.6</w:t>
      </w:r>
    </w:p>
    <w:p w14:paraId="5563383F" w14:textId="60D1ABC7"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 xml:space="preserve">Se deben </w:t>
      </w:r>
      <w:r w:rsidR="00356203">
        <w:rPr>
          <w:rFonts w:ascii="Verdana" w:hAnsi="Verdana" w:cs="Arial"/>
          <w:sz w:val="20"/>
          <w:szCs w:val="20"/>
        </w:rPr>
        <w:t xml:space="preserve">definir y </w:t>
      </w:r>
      <w:r w:rsidRPr="00F47BB7">
        <w:rPr>
          <w:rFonts w:ascii="Verdana" w:hAnsi="Verdana" w:cs="Arial"/>
          <w:sz w:val="20"/>
          <w:szCs w:val="20"/>
        </w:rPr>
        <w:t xml:space="preserve">adoptar los procedimientos que </w:t>
      </w:r>
      <w:r w:rsidR="00356203">
        <w:rPr>
          <w:rFonts w:ascii="Verdana" w:hAnsi="Verdana" w:cs="Arial"/>
          <w:sz w:val="20"/>
          <w:szCs w:val="20"/>
        </w:rPr>
        <w:t xml:space="preserve">deben ejecutarse </w:t>
      </w:r>
      <w:r w:rsidRPr="00F47BB7">
        <w:rPr>
          <w:rFonts w:ascii="Verdana" w:hAnsi="Verdana" w:cs="Arial"/>
          <w:sz w:val="20"/>
          <w:szCs w:val="20"/>
        </w:rPr>
        <w:t>para la aceptación y posterior enajenación de los BRDP</w:t>
      </w:r>
      <w:r w:rsidR="00356203">
        <w:rPr>
          <w:rFonts w:ascii="Verdana" w:hAnsi="Verdana" w:cs="Arial"/>
          <w:sz w:val="20"/>
          <w:szCs w:val="20"/>
        </w:rPr>
        <w:t>,</w:t>
      </w:r>
      <w:r w:rsidRPr="00F47BB7">
        <w:rPr>
          <w:rFonts w:ascii="Verdana" w:hAnsi="Verdana" w:cs="Arial"/>
          <w:sz w:val="20"/>
          <w:szCs w:val="20"/>
        </w:rPr>
        <w:t xml:space="preserve"> de modo que los mismos se administren adecuadamente. Tales procedimientos deben señalar de manera clara las responsabilidades, deberes y facultades que tienen los distintos órganos de dirección, administración y demás funcionarios de la entidad en la adecuada administración de los BRDP.</w:t>
      </w:r>
    </w:p>
    <w:p w14:paraId="30CDD194" w14:textId="678204C7" w:rsidR="00182AEE" w:rsidRPr="00F47BB7" w:rsidRDefault="00182AEE" w:rsidP="00182AEE">
      <w:pPr>
        <w:spacing w:after="0"/>
        <w:rPr>
          <w:rFonts w:ascii="Verdana" w:hAnsi="Verdana"/>
          <w:sz w:val="20"/>
          <w:szCs w:val="20"/>
        </w:rPr>
      </w:pPr>
      <w:r w:rsidRPr="00F47BB7">
        <w:rPr>
          <w:rFonts w:ascii="Verdana" w:hAnsi="Verdana"/>
          <w:sz w:val="20"/>
          <w:szCs w:val="20"/>
        </w:rPr>
        <w:t>3.9.2.</w:t>
      </w:r>
      <w:r w:rsidR="00152CFA" w:rsidRPr="00F47BB7">
        <w:rPr>
          <w:rFonts w:ascii="Verdana" w:hAnsi="Verdana"/>
          <w:sz w:val="20"/>
          <w:szCs w:val="20"/>
        </w:rPr>
        <w:t>7</w:t>
      </w:r>
    </w:p>
    <w:p w14:paraId="57D244D5" w14:textId="77777777"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 xml:space="preserve">En la elaboración de los procedimientos se deben tener en cuenta las siguientes responsabilidades que en la materia tienen las juntas directivas y la alta gerencia: </w:t>
      </w:r>
    </w:p>
    <w:p w14:paraId="1A416F09" w14:textId="6519CD01" w:rsidR="00A555FC" w:rsidRDefault="00A555FC" w:rsidP="00A555FC">
      <w:pPr>
        <w:pStyle w:val="Prrafodelista"/>
        <w:numPr>
          <w:ilvl w:val="0"/>
          <w:numId w:val="16"/>
        </w:numPr>
        <w:spacing w:after="0"/>
        <w:ind w:left="284" w:hanging="284"/>
        <w:rPr>
          <w:rFonts w:ascii="Verdana" w:hAnsi="Verdana"/>
          <w:sz w:val="20"/>
          <w:szCs w:val="20"/>
        </w:rPr>
      </w:pPr>
      <w:r w:rsidRPr="00A555FC">
        <w:rPr>
          <w:rFonts w:ascii="Verdana" w:hAnsi="Verdana" w:cs="Arial"/>
          <w:b/>
          <w:sz w:val="20"/>
          <w:szCs w:val="20"/>
        </w:rPr>
        <w:t>Responsabilidades de la junta directiva u órgano equivalente</w:t>
      </w:r>
    </w:p>
    <w:p w14:paraId="79F47FD2" w14:textId="77777777" w:rsidR="00A555FC" w:rsidRPr="00A555FC" w:rsidRDefault="00A555FC" w:rsidP="00A555FC">
      <w:pPr>
        <w:pStyle w:val="Prrafodelista"/>
        <w:spacing w:after="0"/>
        <w:ind w:left="284"/>
        <w:rPr>
          <w:rFonts w:ascii="Verdana" w:hAnsi="Verdana"/>
          <w:sz w:val="20"/>
          <w:szCs w:val="20"/>
        </w:rPr>
      </w:pPr>
    </w:p>
    <w:p w14:paraId="715ABC2F" w14:textId="0E4F7B7F" w:rsidR="00F41F29" w:rsidRPr="00F47BB7" w:rsidRDefault="00F41F29" w:rsidP="00F41F29">
      <w:pPr>
        <w:spacing w:after="0"/>
        <w:rPr>
          <w:rFonts w:ascii="Verdana" w:hAnsi="Verdana"/>
          <w:sz w:val="20"/>
          <w:szCs w:val="20"/>
        </w:rPr>
      </w:pPr>
      <w:r w:rsidRPr="00F47BB7">
        <w:rPr>
          <w:rFonts w:ascii="Verdana" w:hAnsi="Verdana"/>
          <w:sz w:val="20"/>
          <w:szCs w:val="20"/>
        </w:rPr>
        <w:t>3.9.2.8</w:t>
      </w:r>
    </w:p>
    <w:p w14:paraId="5F1FD269" w14:textId="5C2D4C3F" w:rsidR="0059120D" w:rsidRPr="00F47BB7" w:rsidRDefault="0059120D" w:rsidP="00F41F29">
      <w:pPr>
        <w:suppressAutoHyphens/>
        <w:spacing w:after="0" w:line="240" w:lineRule="auto"/>
        <w:jc w:val="both"/>
        <w:rPr>
          <w:rFonts w:ascii="Verdana" w:hAnsi="Verdana" w:cs="Arial"/>
          <w:sz w:val="20"/>
          <w:szCs w:val="20"/>
        </w:rPr>
      </w:pPr>
      <w:r w:rsidRPr="00F47BB7">
        <w:rPr>
          <w:rFonts w:ascii="Verdana" w:hAnsi="Verdana" w:cs="Arial"/>
          <w:sz w:val="20"/>
          <w:szCs w:val="20"/>
        </w:rPr>
        <w:t>Los procedimientos que se acojan deben considerar que le corresponde a la junta directiva de la entidad u órgano equivalente adoptar las siguientes decisiones relativas a la adecuada organización de la administración de los BRDP</w:t>
      </w:r>
      <w:r w:rsidR="00830E16" w:rsidRPr="00F47BB7">
        <w:rPr>
          <w:rFonts w:ascii="Verdana" w:hAnsi="Verdana" w:cs="Arial"/>
          <w:sz w:val="20"/>
          <w:szCs w:val="20"/>
        </w:rPr>
        <w:t>:</w:t>
      </w:r>
    </w:p>
    <w:p w14:paraId="0BE491DF" w14:textId="77777777" w:rsidR="00830E16" w:rsidRPr="00F47BB7" w:rsidRDefault="00830E16" w:rsidP="00830E16">
      <w:pPr>
        <w:pStyle w:val="Prrafodelista"/>
        <w:suppressAutoHyphens/>
        <w:spacing w:after="0" w:line="240" w:lineRule="auto"/>
        <w:ind w:left="567"/>
        <w:jc w:val="both"/>
        <w:rPr>
          <w:rFonts w:ascii="Verdana" w:hAnsi="Verdana" w:cs="Arial"/>
          <w:sz w:val="20"/>
          <w:szCs w:val="20"/>
        </w:rPr>
      </w:pPr>
    </w:p>
    <w:p w14:paraId="12A98AD4" w14:textId="16843BD8" w:rsidR="0059120D" w:rsidRPr="00F47BB7" w:rsidRDefault="0059120D" w:rsidP="00185381">
      <w:pPr>
        <w:pStyle w:val="Prrafodelista"/>
        <w:numPr>
          <w:ilvl w:val="0"/>
          <w:numId w:val="14"/>
        </w:numPr>
        <w:suppressAutoHyphens/>
        <w:ind w:left="567" w:hanging="567"/>
        <w:jc w:val="both"/>
        <w:rPr>
          <w:rFonts w:ascii="Verdana" w:hAnsi="Verdana" w:cs="Arial"/>
          <w:sz w:val="20"/>
          <w:szCs w:val="20"/>
        </w:rPr>
      </w:pPr>
      <w:r w:rsidRPr="00F47BB7">
        <w:rPr>
          <w:rFonts w:ascii="Verdana" w:hAnsi="Verdana" w:cs="Arial"/>
          <w:sz w:val="20"/>
          <w:szCs w:val="20"/>
        </w:rPr>
        <w:t>Señalar las políticas de la entidad en materia de aceptación de bienes en pago y administración de los BRDP.</w:t>
      </w:r>
    </w:p>
    <w:p w14:paraId="366E024D" w14:textId="77777777" w:rsidR="00060402" w:rsidRDefault="00060402" w:rsidP="00060402">
      <w:pPr>
        <w:pStyle w:val="Prrafodelista"/>
        <w:ind w:left="567"/>
        <w:jc w:val="both"/>
        <w:rPr>
          <w:rFonts w:ascii="Verdana" w:hAnsi="Verdana" w:cs="Arial"/>
          <w:sz w:val="20"/>
          <w:szCs w:val="20"/>
        </w:rPr>
      </w:pPr>
    </w:p>
    <w:p w14:paraId="5DB772B1" w14:textId="4850376F" w:rsidR="0059120D" w:rsidRPr="00F47BB7" w:rsidRDefault="0059120D" w:rsidP="00185381">
      <w:pPr>
        <w:pStyle w:val="Prrafodelista"/>
        <w:numPr>
          <w:ilvl w:val="0"/>
          <w:numId w:val="14"/>
        </w:numPr>
        <w:ind w:left="567" w:hanging="567"/>
        <w:jc w:val="both"/>
        <w:rPr>
          <w:rFonts w:ascii="Verdana" w:hAnsi="Verdana" w:cs="Arial"/>
          <w:sz w:val="20"/>
          <w:szCs w:val="20"/>
        </w:rPr>
      </w:pPr>
      <w:r w:rsidRPr="00F47BB7">
        <w:rPr>
          <w:rFonts w:ascii="Verdana" w:hAnsi="Verdana" w:cs="Arial"/>
          <w:sz w:val="20"/>
          <w:szCs w:val="20"/>
        </w:rPr>
        <w:t xml:space="preserve">Designar, dentro de la estructura organizacional de la entidad, el cargo y área responsable de la gestión de enajenación de los BRDP. </w:t>
      </w:r>
    </w:p>
    <w:p w14:paraId="01601F96" w14:textId="77777777" w:rsidR="00060402" w:rsidRDefault="00060402" w:rsidP="00060402">
      <w:pPr>
        <w:pStyle w:val="Prrafodelista"/>
        <w:ind w:left="567"/>
        <w:jc w:val="both"/>
        <w:rPr>
          <w:rFonts w:ascii="Verdana" w:hAnsi="Verdana" w:cs="Arial"/>
          <w:sz w:val="20"/>
          <w:szCs w:val="20"/>
        </w:rPr>
      </w:pPr>
    </w:p>
    <w:p w14:paraId="65311D76" w14:textId="34D34930" w:rsidR="0059120D" w:rsidRPr="00F47BB7" w:rsidRDefault="0059120D" w:rsidP="00185381">
      <w:pPr>
        <w:pStyle w:val="Prrafodelista"/>
        <w:numPr>
          <w:ilvl w:val="0"/>
          <w:numId w:val="14"/>
        </w:numPr>
        <w:ind w:left="567" w:hanging="567"/>
        <w:jc w:val="both"/>
        <w:rPr>
          <w:rFonts w:ascii="Verdana" w:hAnsi="Verdana" w:cs="Arial"/>
          <w:sz w:val="20"/>
          <w:szCs w:val="20"/>
        </w:rPr>
      </w:pPr>
      <w:r w:rsidRPr="00F47BB7">
        <w:rPr>
          <w:rFonts w:ascii="Verdana" w:hAnsi="Verdana" w:cs="Arial"/>
          <w:sz w:val="20"/>
          <w:szCs w:val="20"/>
        </w:rPr>
        <w:t xml:space="preserve">Señalar las responsabilidades y atribuciones asignadas al cargo y área encargada de gestionar la enajenación de los BRDP. </w:t>
      </w:r>
    </w:p>
    <w:p w14:paraId="5C41E8EC" w14:textId="77777777" w:rsidR="00060402" w:rsidRDefault="00060402" w:rsidP="00060402">
      <w:pPr>
        <w:pStyle w:val="Prrafodelista"/>
        <w:ind w:left="567"/>
        <w:jc w:val="both"/>
        <w:rPr>
          <w:rFonts w:ascii="Verdana" w:hAnsi="Verdana" w:cs="Arial"/>
          <w:sz w:val="20"/>
          <w:szCs w:val="20"/>
        </w:rPr>
      </w:pPr>
    </w:p>
    <w:p w14:paraId="58426916" w14:textId="161AD6CE" w:rsidR="0059120D" w:rsidRPr="00F47BB7" w:rsidRDefault="0059120D" w:rsidP="00185381">
      <w:pPr>
        <w:pStyle w:val="Prrafodelista"/>
        <w:numPr>
          <w:ilvl w:val="0"/>
          <w:numId w:val="14"/>
        </w:numPr>
        <w:ind w:left="567" w:hanging="567"/>
        <w:jc w:val="both"/>
        <w:rPr>
          <w:rFonts w:ascii="Verdana" w:hAnsi="Verdana" w:cs="Arial"/>
          <w:sz w:val="20"/>
          <w:szCs w:val="20"/>
        </w:rPr>
      </w:pPr>
      <w:r w:rsidRPr="00F47BB7">
        <w:rPr>
          <w:rFonts w:ascii="Verdana" w:hAnsi="Verdana" w:cs="Arial"/>
          <w:sz w:val="20"/>
          <w:szCs w:val="20"/>
        </w:rPr>
        <w:t>Aprobar los procedimientos que diseñe la administración de la entidad para la gestión de enajenación de los BRDP dentro del término legal.</w:t>
      </w:r>
    </w:p>
    <w:p w14:paraId="5367E11E" w14:textId="77777777" w:rsidR="00060402" w:rsidRDefault="00060402" w:rsidP="00060402">
      <w:pPr>
        <w:pStyle w:val="Prrafodelista"/>
        <w:ind w:left="567"/>
        <w:jc w:val="both"/>
        <w:rPr>
          <w:rFonts w:ascii="Verdana" w:hAnsi="Verdana" w:cs="Arial"/>
          <w:sz w:val="20"/>
          <w:szCs w:val="20"/>
        </w:rPr>
      </w:pPr>
    </w:p>
    <w:p w14:paraId="31D1665A" w14:textId="67917CA6" w:rsidR="0059120D" w:rsidRPr="00F47BB7" w:rsidRDefault="0059120D" w:rsidP="00185381">
      <w:pPr>
        <w:pStyle w:val="Prrafodelista"/>
        <w:numPr>
          <w:ilvl w:val="0"/>
          <w:numId w:val="14"/>
        </w:numPr>
        <w:ind w:left="567" w:hanging="567"/>
        <w:jc w:val="both"/>
        <w:rPr>
          <w:rFonts w:ascii="Verdana" w:hAnsi="Verdana" w:cs="Arial"/>
          <w:sz w:val="20"/>
          <w:szCs w:val="20"/>
        </w:rPr>
      </w:pPr>
      <w:r w:rsidRPr="00F47BB7">
        <w:rPr>
          <w:rFonts w:ascii="Verdana" w:hAnsi="Verdana" w:cs="Arial"/>
          <w:sz w:val="20"/>
          <w:szCs w:val="20"/>
        </w:rPr>
        <w:t xml:space="preserve">Aprobar el direccionamiento de recursos humanos, tecnológicos y económicos que permitan llevar a cabo las actividades propias de la gestión de venta. </w:t>
      </w:r>
    </w:p>
    <w:p w14:paraId="11385991" w14:textId="77777777" w:rsidR="00060402" w:rsidRDefault="00060402" w:rsidP="00060402">
      <w:pPr>
        <w:pStyle w:val="Prrafodelista"/>
        <w:ind w:left="567"/>
        <w:jc w:val="both"/>
        <w:rPr>
          <w:rFonts w:ascii="Verdana" w:hAnsi="Verdana" w:cs="Arial"/>
          <w:sz w:val="20"/>
          <w:szCs w:val="20"/>
        </w:rPr>
      </w:pPr>
    </w:p>
    <w:p w14:paraId="26AC1115" w14:textId="77777777" w:rsidR="00060402" w:rsidRPr="00060402" w:rsidRDefault="0059120D" w:rsidP="008C10A5">
      <w:pPr>
        <w:pStyle w:val="Prrafodelista"/>
        <w:numPr>
          <w:ilvl w:val="0"/>
          <w:numId w:val="14"/>
        </w:numPr>
        <w:spacing w:after="0"/>
        <w:ind w:left="567" w:hanging="567"/>
        <w:jc w:val="both"/>
        <w:rPr>
          <w:rFonts w:ascii="Verdana" w:hAnsi="Verdana"/>
          <w:sz w:val="20"/>
          <w:szCs w:val="20"/>
        </w:rPr>
      </w:pPr>
      <w:r w:rsidRPr="00060402">
        <w:rPr>
          <w:rFonts w:ascii="Verdana" w:hAnsi="Verdana" w:cs="Arial"/>
          <w:sz w:val="20"/>
          <w:szCs w:val="20"/>
        </w:rPr>
        <w:t>Aprobar las solicitudes de prórroga del plazo de enajenación.</w:t>
      </w:r>
    </w:p>
    <w:p w14:paraId="32181F5B" w14:textId="77777777" w:rsidR="00060402" w:rsidRPr="00060402" w:rsidRDefault="00060402" w:rsidP="00060402">
      <w:pPr>
        <w:pStyle w:val="Prrafodelista"/>
        <w:rPr>
          <w:rFonts w:ascii="Verdana" w:hAnsi="Verdana" w:cs="Arial"/>
          <w:b/>
          <w:sz w:val="20"/>
          <w:szCs w:val="20"/>
        </w:rPr>
      </w:pPr>
    </w:p>
    <w:p w14:paraId="452405C2" w14:textId="6337D4A8" w:rsidR="00060402" w:rsidRPr="00060402" w:rsidRDefault="00060402" w:rsidP="00060402">
      <w:pPr>
        <w:pStyle w:val="Prrafodelista"/>
        <w:numPr>
          <w:ilvl w:val="0"/>
          <w:numId w:val="16"/>
        </w:numPr>
        <w:spacing w:after="0"/>
        <w:ind w:left="284" w:hanging="284"/>
        <w:jc w:val="both"/>
        <w:rPr>
          <w:rFonts w:ascii="Verdana" w:hAnsi="Verdana"/>
          <w:sz w:val="20"/>
          <w:szCs w:val="20"/>
        </w:rPr>
      </w:pPr>
      <w:r w:rsidRPr="00060402">
        <w:rPr>
          <w:rFonts w:ascii="Verdana" w:hAnsi="Verdana" w:cs="Arial"/>
          <w:b/>
          <w:sz w:val="20"/>
          <w:szCs w:val="20"/>
        </w:rPr>
        <w:t xml:space="preserve">Responsabilidades del </w:t>
      </w:r>
      <w:r w:rsidR="00C55F0B">
        <w:rPr>
          <w:rFonts w:ascii="Verdana" w:hAnsi="Verdana" w:cs="Arial"/>
          <w:b/>
          <w:sz w:val="20"/>
          <w:szCs w:val="20"/>
        </w:rPr>
        <w:t>nivel administrativo</w:t>
      </w:r>
    </w:p>
    <w:p w14:paraId="4EDE97E4" w14:textId="77777777" w:rsidR="00060402" w:rsidRDefault="00060402" w:rsidP="008C10A5">
      <w:pPr>
        <w:spacing w:after="0"/>
        <w:rPr>
          <w:rFonts w:ascii="Verdana" w:hAnsi="Verdana"/>
          <w:sz w:val="20"/>
          <w:szCs w:val="20"/>
        </w:rPr>
      </w:pPr>
    </w:p>
    <w:p w14:paraId="58CCC3B8" w14:textId="11FDC0EA" w:rsidR="008C10A5" w:rsidRPr="00F47BB7" w:rsidRDefault="008C10A5" w:rsidP="008C10A5">
      <w:pPr>
        <w:spacing w:after="0"/>
        <w:rPr>
          <w:rFonts w:ascii="Verdana" w:hAnsi="Verdana"/>
          <w:sz w:val="20"/>
          <w:szCs w:val="20"/>
        </w:rPr>
      </w:pPr>
      <w:r w:rsidRPr="00F47BB7">
        <w:rPr>
          <w:rFonts w:ascii="Verdana" w:hAnsi="Verdana"/>
          <w:sz w:val="20"/>
          <w:szCs w:val="20"/>
        </w:rPr>
        <w:t>3.9.2.9.</w:t>
      </w:r>
    </w:p>
    <w:p w14:paraId="3A937DB3" w14:textId="7B7BFAE6" w:rsidR="00004ACC" w:rsidRPr="00060402" w:rsidRDefault="0059120D" w:rsidP="00060402">
      <w:pPr>
        <w:jc w:val="both"/>
        <w:rPr>
          <w:rFonts w:ascii="Verdana" w:hAnsi="Verdana" w:cs="Arial"/>
          <w:sz w:val="20"/>
          <w:szCs w:val="20"/>
        </w:rPr>
      </w:pPr>
      <w:r w:rsidRPr="00F47BB7">
        <w:rPr>
          <w:rFonts w:ascii="Verdana" w:hAnsi="Verdana" w:cs="Arial"/>
          <w:sz w:val="20"/>
          <w:szCs w:val="20"/>
        </w:rPr>
        <w:t xml:space="preserve">Los procedimientos que se adopten deben tener en cuenta las siguientes funciones de gestión y seguimiento a cargo del </w:t>
      </w:r>
      <w:r w:rsidR="004A683C">
        <w:rPr>
          <w:rFonts w:ascii="Verdana" w:hAnsi="Verdana" w:cs="Arial"/>
          <w:sz w:val="20"/>
          <w:szCs w:val="20"/>
        </w:rPr>
        <w:t>nivel administrativo de la entidad</w:t>
      </w:r>
      <w:r w:rsidRPr="00F47BB7">
        <w:rPr>
          <w:rFonts w:ascii="Verdana" w:hAnsi="Verdana" w:cs="Arial"/>
          <w:sz w:val="20"/>
          <w:szCs w:val="20"/>
        </w:rPr>
        <w:t>:</w:t>
      </w:r>
    </w:p>
    <w:p w14:paraId="546E8A72" w14:textId="3DFBDED2" w:rsidR="0059120D" w:rsidRPr="00F47BB7" w:rsidRDefault="0059120D" w:rsidP="008C10A5">
      <w:pPr>
        <w:pStyle w:val="Prrafodelista"/>
        <w:numPr>
          <w:ilvl w:val="0"/>
          <w:numId w:val="15"/>
        </w:numPr>
        <w:ind w:left="567" w:hanging="567"/>
        <w:jc w:val="both"/>
        <w:rPr>
          <w:rFonts w:ascii="Verdana" w:hAnsi="Verdana" w:cs="Arial"/>
          <w:sz w:val="20"/>
          <w:szCs w:val="20"/>
        </w:rPr>
      </w:pPr>
      <w:r w:rsidRPr="00F47BB7">
        <w:rPr>
          <w:rFonts w:ascii="Verdana" w:hAnsi="Verdana" w:cs="Arial"/>
          <w:sz w:val="20"/>
          <w:szCs w:val="20"/>
        </w:rPr>
        <w:t>Diseñar los procedimientos a seguir por las áreas y cargos asignados como responsables de la enajenación de los BRDP.</w:t>
      </w:r>
    </w:p>
    <w:p w14:paraId="76076D6D" w14:textId="77777777" w:rsidR="00060402" w:rsidRDefault="00060402" w:rsidP="00060402">
      <w:pPr>
        <w:pStyle w:val="Prrafodelista"/>
        <w:ind w:left="567"/>
        <w:jc w:val="both"/>
        <w:rPr>
          <w:rFonts w:ascii="Verdana" w:hAnsi="Verdana" w:cs="Arial"/>
          <w:sz w:val="20"/>
          <w:szCs w:val="20"/>
        </w:rPr>
      </w:pPr>
    </w:p>
    <w:p w14:paraId="513F5193" w14:textId="3CD01B92" w:rsidR="00B669EB" w:rsidRPr="00F47BB7" w:rsidRDefault="0059120D" w:rsidP="008C10A5">
      <w:pPr>
        <w:pStyle w:val="Prrafodelista"/>
        <w:numPr>
          <w:ilvl w:val="0"/>
          <w:numId w:val="15"/>
        </w:numPr>
        <w:ind w:left="567" w:hanging="567"/>
        <w:jc w:val="both"/>
        <w:rPr>
          <w:rFonts w:ascii="Verdana" w:hAnsi="Verdana" w:cs="Arial"/>
          <w:sz w:val="20"/>
          <w:szCs w:val="20"/>
        </w:rPr>
      </w:pPr>
      <w:r w:rsidRPr="00F47BB7">
        <w:rPr>
          <w:rFonts w:ascii="Verdana" w:hAnsi="Verdana" w:cs="Arial"/>
          <w:sz w:val="20"/>
          <w:szCs w:val="20"/>
        </w:rPr>
        <w:t xml:space="preserve">Someter a aprobación de la junta directiva los procedimientos a que se refiere el </w:t>
      </w:r>
      <w:r w:rsidR="00711B5A">
        <w:rPr>
          <w:rFonts w:ascii="Verdana" w:hAnsi="Verdana" w:cs="Arial"/>
          <w:sz w:val="20"/>
          <w:szCs w:val="20"/>
        </w:rPr>
        <w:t>literal</w:t>
      </w:r>
      <w:r w:rsidRPr="00F47BB7">
        <w:rPr>
          <w:rFonts w:ascii="Verdana" w:hAnsi="Verdana" w:cs="Arial"/>
          <w:sz w:val="20"/>
          <w:szCs w:val="20"/>
        </w:rPr>
        <w:t xml:space="preserve"> anterior.</w:t>
      </w:r>
    </w:p>
    <w:p w14:paraId="45F36BEE" w14:textId="77777777" w:rsidR="00060402" w:rsidRDefault="00060402" w:rsidP="00060402">
      <w:pPr>
        <w:pStyle w:val="Prrafodelista"/>
        <w:ind w:left="567"/>
        <w:jc w:val="both"/>
        <w:rPr>
          <w:rFonts w:ascii="Verdana" w:hAnsi="Verdana" w:cs="Arial"/>
          <w:sz w:val="20"/>
          <w:szCs w:val="20"/>
        </w:rPr>
      </w:pPr>
    </w:p>
    <w:p w14:paraId="2D8C12DC" w14:textId="73173EA0" w:rsidR="0059120D" w:rsidRPr="00F47BB7" w:rsidRDefault="0059120D" w:rsidP="008C10A5">
      <w:pPr>
        <w:pStyle w:val="Prrafodelista"/>
        <w:numPr>
          <w:ilvl w:val="0"/>
          <w:numId w:val="15"/>
        </w:numPr>
        <w:ind w:left="567" w:hanging="567"/>
        <w:jc w:val="both"/>
        <w:rPr>
          <w:rFonts w:ascii="Verdana" w:hAnsi="Verdana" w:cs="Arial"/>
          <w:sz w:val="20"/>
          <w:szCs w:val="20"/>
        </w:rPr>
      </w:pPr>
      <w:r w:rsidRPr="00F47BB7">
        <w:rPr>
          <w:rFonts w:ascii="Verdana" w:hAnsi="Verdana" w:cs="Arial"/>
          <w:sz w:val="20"/>
          <w:szCs w:val="20"/>
        </w:rPr>
        <w:t>Adelantar un seguimiento permanente de la labor del área y funcionarios encargados de la gestión de venta de los BRDP y mantener debidamente informada a la junta directiva de los resultados en tal sentido.</w:t>
      </w:r>
    </w:p>
    <w:p w14:paraId="292E92F6" w14:textId="77777777" w:rsidR="00060402" w:rsidRDefault="00060402" w:rsidP="00060402">
      <w:pPr>
        <w:pStyle w:val="Prrafodelista"/>
        <w:ind w:left="567"/>
        <w:jc w:val="both"/>
        <w:rPr>
          <w:rFonts w:ascii="Verdana" w:hAnsi="Verdana" w:cs="Arial"/>
          <w:sz w:val="20"/>
          <w:szCs w:val="20"/>
        </w:rPr>
      </w:pPr>
    </w:p>
    <w:p w14:paraId="6041AEB8" w14:textId="2C898AEA" w:rsidR="0059120D" w:rsidRPr="00060402" w:rsidRDefault="0059120D" w:rsidP="0059120D">
      <w:pPr>
        <w:pStyle w:val="Prrafodelista"/>
        <w:numPr>
          <w:ilvl w:val="0"/>
          <w:numId w:val="15"/>
        </w:numPr>
        <w:ind w:left="567" w:hanging="567"/>
        <w:jc w:val="both"/>
        <w:rPr>
          <w:rFonts w:ascii="Verdana" w:hAnsi="Verdana" w:cs="Arial"/>
          <w:sz w:val="20"/>
          <w:szCs w:val="20"/>
        </w:rPr>
      </w:pPr>
      <w:r w:rsidRPr="00F47BB7">
        <w:rPr>
          <w:rFonts w:ascii="Verdana" w:hAnsi="Verdana" w:cs="Arial"/>
          <w:sz w:val="20"/>
          <w:szCs w:val="20"/>
        </w:rPr>
        <w:t>Señalar el contenido, características y periodicidad de los informes que los funcionarios y áreas encargadas de la gestión de enajenación deben rendir.</w:t>
      </w:r>
    </w:p>
    <w:p w14:paraId="0E98B062" w14:textId="77777777" w:rsidR="00060402" w:rsidRDefault="00060402" w:rsidP="00D57993">
      <w:pPr>
        <w:suppressAutoHyphens/>
        <w:spacing w:after="0" w:line="240" w:lineRule="auto"/>
        <w:jc w:val="both"/>
        <w:rPr>
          <w:rFonts w:ascii="Verdana" w:hAnsi="Verdana" w:cs="Arial"/>
          <w:b/>
          <w:sz w:val="20"/>
          <w:szCs w:val="20"/>
        </w:rPr>
      </w:pPr>
    </w:p>
    <w:p w14:paraId="0364A501" w14:textId="77777777" w:rsidR="00060402" w:rsidRDefault="00060402" w:rsidP="00D57993">
      <w:pPr>
        <w:suppressAutoHyphens/>
        <w:spacing w:after="0" w:line="240" w:lineRule="auto"/>
        <w:jc w:val="both"/>
        <w:rPr>
          <w:rFonts w:ascii="Verdana" w:hAnsi="Verdana" w:cs="Arial"/>
          <w:b/>
          <w:sz w:val="20"/>
          <w:szCs w:val="20"/>
        </w:rPr>
      </w:pPr>
    </w:p>
    <w:p w14:paraId="68F5D682" w14:textId="77777777" w:rsidR="00060402" w:rsidRDefault="00060402" w:rsidP="00D57993">
      <w:pPr>
        <w:suppressAutoHyphens/>
        <w:spacing w:after="0" w:line="240" w:lineRule="auto"/>
        <w:jc w:val="both"/>
        <w:rPr>
          <w:rFonts w:ascii="Verdana" w:hAnsi="Verdana" w:cs="Arial"/>
          <w:b/>
          <w:sz w:val="20"/>
          <w:szCs w:val="20"/>
        </w:rPr>
      </w:pPr>
    </w:p>
    <w:p w14:paraId="59A228F8" w14:textId="77777777" w:rsidR="00060402" w:rsidRDefault="00060402" w:rsidP="00D57993">
      <w:pPr>
        <w:suppressAutoHyphens/>
        <w:spacing w:after="0" w:line="240" w:lineRule="auto"/>
        <w:jc w:val="both"/>
        <w:rPr>
          <w:rFonts w:ascii="Verdana" w:hAnsi="Verdana" w:cs="Arial"/>
          <w:b/>
          <w:sz w:val="20"/>
          <w:szCs w:val="20"/>
        </w:rPr>
      </w:pPr>
    </w:p>
    <w:p w14:paraId="5A19F0D0" w14:textId="77777777" w:rsidR="00060402" w:rsidRDefault="00060402" w:rsidP="00D57993">
      <w:pPr>
        <w:suppressAutoHyphens/>
        <w:spacing w:after="0" w:line="240" w:lineRule="auto"/>
        <w:jc w:val="both"/>
        <w:rPr>
          <w:rFonts w:ascii="Verdana" w:hAnsi="Verdana" w:cs="Arial"/>
          <w:b/>
          <w:sz w:val="20"/>
          <w:szCs w:val="20"/>
        </w:rPr>
      </w:pPr>
    </w:p>
    <w:p w14:paraId="437913F9" w14:textId="77777777" w:rsidR="00060402" w:rsidRPr="00F47BB7" w:rsidRDefault="00060402" w:rsidP="00060402">
      <w:pPr>
        <w:suppressAutoHyphens/>
        <w:spacing w:after="0" w:line="240" w:lineRule="auto"/>
        <w:jc w:val="both"/>
        <w:rPr>
          <w:rFonts w:ascii="Verdana" w:hAnsi="Verdana" w:cs="Arial"/>
          <w:b/>
          <w:sz w:val="20"/>
          <w:szCs w:val="20"/>
        </w:rPr>
      </w:pPr>
    </w:p>
    <w:p w14:paraId="14A3C7FD" w14:textId="46B4EB0F" w:rsidR="009B7755" w:rsidRPr="00F47BB7" w:rsidRDefault="00336EFF" w:rsidP="00362954">
      <w:pPr>
        <w:suppressAutoHyphens/>
        <w:jc w:val="both"/>
        <w:rPr>
          <w:rFonts w:ascii="Verdana" w:hAnsi="Verdana" w:cs="Arial"/>
          <w:b/>
          <w:sz w:val="20"/>
          <w:szCs w:val="20"/>
        </w:rPr>
      </w:pPr>
      <w:r w:rsidRPr="00F47BB7">
        <w:rPr>
          <w:rFonts w:ascii="Verdana" w:hAnsi="Verdana" w:cs="Arial"/>
          <w:b/>
          <w:sz w:val="20"/>
          <w:szCs w:val="20"/>
        </w:rPr>
        <w:t>REGLAS PARA LA CONSTITUCIÓN DE PROVISIONES SOBRE BRDP INMUEBLES</w:t>
      </w:r>
    </w:p>
    <w:p w14:paraId="65F69FD4" w14:textId="21E5F5F7" w:rsidR="0059120D" w:rsidRPr="00F47BB7" w:rsidRDefault="0059120D" w:rsidP="00362954">
      <w:pPr>
        <w:suppressAutoHyphens/>
        <w:jc w:val="both"/>
        <w:rPr>
          <w:rFonts w:ascii="Verdana" w:hAnsi="Verdana" w:cs="Arial"/>
          <w:b/>
          <w:sz w:val="20"/>
          <w:szCs w:val="20"/>
        </w:rPr>
      </w:pPr>
      <w:r w:rsidRPr="00F47BB7">
        <w:rPr>
          <w:rFonts w:ascii="Verdana" w:hAnsi="Verdana" w:cs="Arial"/>
          <w:b/>
          <w:sz w:val="20"/>
          <w:szCs w:val="20"/>
        </w:rPr>
        <w:t>Modelo para el cálculo de provisiones sobre BRDP inmuebles</w:t>
      </w:r>
    </w:p>
    <w:p w14:paraId="4D279DF1" w14:textId="33FF1987" w:rsidR="007F3523" w:rsidRPr="00F47BB7" w:rsidRDefault="007F3523" w:rsidP="007F3523">
      <w:pPr>
        <w:spacing w:after="0"/>
        <w:rPr>
          <w:rFonts w:ascii="Verdana" w:hAnsi="Verdana"/>
          <w:sz w:val="20"/>
          <w:szCs w:val="20"/>
        </w:rPr>
      </w:pPr>
      <w:r w:rsidRPr="00F47BB7">
        <w:rPr>
          <w:rFonts w:ascii="Verdana" w:hAnsi="Verdana"/>
          <w:sz w:val="20"/>
          <w:szCs w:val="20"/>
        </w:rPr>
        <w:t>3.9.2.</w:t>
      </w:r>
      <w:r w:rsidR="00161420" w:rsidRPr="00F47BB7">
        <w:rPr>
          <w:rFonts w:ascii="Verdana" w:hAnsi="Verdana"/>
          <w:sz w:val="20"/>
          <w:szCs w:val="20"/>
        </w:rPr>
        <w:t>10.</w:t>
      </w:r>
    </w:p>
    <w:p w14:paraId="5CF6BF11" w14:textId="2D9ADF35"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 xml:space="preserve">Las entidades pueden diseñar y adoptar sus propios modelos internos para el cálculo de provisiones sobre los BRDP.  Mediante estos modelos se debe estimar la pérdida esperada por tipo de bien, según el esquema previsto en el presente numeral a partir de una tasa base de provisión y un factor de ajuste en función del tiempo de recuperación. </w:t>
      </w:r>
    </w:p>
    <w:p w14:paraId="3651A896" w14:textId="4F5A417C" w:rsidR="00B10938" w:rsidRPr="00F47BB7" w:rsidRDefault="00B10938" w:rsidP="00B10938">
      <w:pPr>
        <w:spacing w:after="0"/>
        <w:rPr>
          <w:rFonts w:ascii="Verdana" w:hAnsi="Verdana"/>
          <w:sz w:val="20"/>
          <w:szCs w:val="20"/>
        </w:rPr>
      </w:pPr>
      <w:r w:rsidRPr="00F47BB7">
        <w:rPr>
          <w:rFonts w:ascii="Verdana" w:hAnsi="Verdana"/>
          <w:sz w:val="20"/>
          <w:szCs w:val="20"/>
        </w:rPr>
        <w:t>3.9.2.</w:t>
      </w:r>
      <w:r w:rsidR="00161420" w:rsidRPr="00F47BB7">
        <w:rPr>
          <w:rFonts w:ascii="Verdana" w:hAnsi="Verdana"/>
          <w:sz w:val="20"/>
          <w:szCs w:val="20"/>
        </w:rPr>
        <w:t>11</w:t>
      </w:r>
    </w:p>
    <w:p w14:paraId="6448E1D0" w14:textId="4FE7F1B3"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 xml:space="preserve">El modelo debe permitir catalogar, agrupar o segmentar los BRDP de acuerdo con características homogéneas, es decir, según tipos de bienes, ubicación geográfica, situación jurídica del bien, entre otros. En todo caso, el modelo implementado debe permitir calcular las provisiones de acuerdo con los siguientes parámetros: </w:t>
      </w:r>
    </w:p>
    <w:p w14:paraId="5B0BC65F" w14:textId="77777777" w:rsidR="0059120D" w:rsidRPr="00F47BB7" w:rsidRDefault="0059120D" w:rsidP="0059120D">
      <w:pPr>
        <w:suppressAutoHyphens/>
        <w:jc w:val="center"/>
        <w:rPr>
          <w:rFonts w:ascii="Verdana" w:hAnsi="Verdana" w:cs="Arial"/>
          <w:sz w:val="20"/>
          <w:szCs w:val="20"/>
        </w:rPr>
      </w:pPr>
      <m:oMath>
        <m:r>
          <w:rPr>
            <w:rFonts w:ascii="Cambria Math" w:hAnsi="Cambria Math" w:cs="Arial"/>
            <w:sz w:val="20"/>
            <w:szCs w:val="20"/>
          </w:rPr>
          <m:t>Monto provisiones=</m:t>
        </m:r>
      </m:oMath>
      <w:r w:rsidRPr="00F47BB7">
        <w:rPr>
          <w:rFonts w:ascii="Verdana" w:hAnsi="Verdana" w:cs="Arial"/>
          <w:sz w:val="20"/>
          <w:szCs w:val="20"/>
        </w:rPr>
        <w:t xml:space="preserve"> </w:t>
      </w:r>
      <m:oMath>
        <m:r>
          <w:rPr>
            <w:rFonts w:ascii="Cambria Math" w:hAnsi="Cambria Math" w:cs="Arial"/>
            <w:sz w:val="20"/>
            <w:szCs w:val="20"/>
          </w:rPr>
          <m:t>V.BRDP×</m:t>
        </m:r>
        <m:d>
          <m:dPr>
            <m:ctrlPr>
              <w:rPr>
                <w:rFonts w:ascii="Cambria Math" w:hAnsi="Cambria Math" w:cs="Arial"/>
                <w:i/>
                <w:sz w:val="20"/>
                <w:szCs w:val="20"/>
              </w:rPr>
            </m:ctrlPr>
          </m:dPr>
          <m:e>
            <m:r>
              <w:rPr>
                <w:rFonts w:ascii="Cambria Math" w:hAnsi="Cambria Math" w:cs="Arial"/>
                <w:sz w:val="20"/>
                <w:szCs w:val="20"/>
              </w:rPr>
              <m:t>B+F</m:t>
            </m:r>
          </m:e>
        </m:d>
      </m:oMath>
    </w:p>
    <w:p w14:paraId="630326F3" w14:textId="77777777"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 xml:space="preserve">Donde: </w:t>
      </w:r>
    </w:p>
    <w:p w14:paraId="37D7CC16" w14:textId="75C92958" w:rsidR="0059120D" w:rsidRPr="00336EFF" w:rsidRDefault="00336EFF" w:rsidP="00336EFF">
      <w:pPr>
        <w:suppressAutoHyphens/>
        <w:jc w:val="both"/>
        <w:rPr>
          <w:rFonts w:ascii="Verdana" w:hAnsi="Verdana" w:cs="Arial"/>
          <w:sz w:val="20"/>
          <w:szCs w:val="20"/>
        </w:rPr>
      </w:pPr>
      <m:oMath>
        <m:r>
          <w:rPr>
            <w:rFonts w:ascii="Cambria Math" w:hAnsi="Cambria Math" w:cs="Arial"/>
            <w:sz w:val="20"/>
            <w:szCs w:val="20"/>
          </w:rPr>
          <m:t>Monto provisiones</m:t>
        </m:r>
      </m:oMath>
      <w:r>
        <w:rPr>
          <w:rFonts w:ascii="Verdana" w:eastAsiaTheme="minorEastAsia" w:hAnsi="Verdana" w:cs="Arial"/>
          <w:sz w:val="20"/>
          <w:szCs w:val="20"/>
        </w:rPr>
        <w:t>:</w:t>
      </w:r>
      <w:r w:rsidR="001F5EB1" w:rsidRPr="00336EFF">
        <w:rPr>
          <w:rFonts w:ascii="Verdana" w:hAnsi="Verdana" w:cs="Arial"/>
          <w:sz w:val="20"/>
          <w:szCs w:val="20"/>
        </w:rPr>
        <w:t xml:space="preserve"> </w:t>
      </w:r>
      <w:r w:rsidR="0059120D" w:rsidRPr="00336EFF">
        <w:rPr>
          <w:rFonts w:ascii="Verdana" w:hAnsi="Verdana" w:cs="Arial"/>
          <w:sz w:val="20"/>
          <w:szCs w:val="20"/>
        </w:rPr>
        <w:t xml:space="preserve">corresponde al valor en pesos de las provisiones que deben realizarse por concepto de deterioro. </w:t>
      </w:r>
    </w:p>
    <w:p w14:paraId="33541CE6" w14:textId="1D520D5F" w:rsidR="0059120D" w:rsidRPr="00336EFF" w:rsidRDefault="00336EFF" w:rsidP="00336EFF">
      <w:pPr>
        <w:jc w:val="both"/>
        <w:rPr>
          <w:rFonts w:ascii="Verdana" w:hAnsi="Verdana" w:cs="Arial"/>
          <w:bCs/>
          <w:sz w:val="20"/>
          <w:szCs w:val="20"/>
        </w:rPr>
      </w:pPr>
      <m:oMath>
        <m:r>
          <w:rPr>
            <w:rFonts w:ascii="Cambria Math" w:hAnsi="Cambria Math" w:cs="Arial"/>
            <w:sz w:val="20"/>
            <w:szCs w:val="20"/>
          </w:rPr>
          <m:t>V.BRDP</m:t>
        </m:r>
      </m:oMath>
      <w:r>
        <w:rPr>
          <w:rFonts w:ascii="Verdana" w:hAnsi="Verdana" w:cs="Arial"/>
          <w:bCs/>
          <w:sz w:val="20"/>
          <w:szCs w:val="20"/>
        </w:rPr>
        <w:t xml:space="preserve">: </w:t>
      </w:r>
      <w:r w:rsidR="0059120D" w:rsidRPr="00336EFF">
        <w:rPr>
          <w:rFonts w:ascii="Verdana" w:hAnsi="Verdana" w:cs="Arial"/>
          <w:bCs/>
          <w:sz w:val="20"/>
          <w:szCs w:val="20"/>
        </w:rPr>
        <w:t xml:space="preserve">corresponde al </w:t>
      </w:r>
      <w:r w:rsidR="0059120D" w:rsidRPr="00336EFF">
        <w:rPr>
          <w:rFonts w:ascii="Verdana" w:hAnsi="Verdana" w:cs="Arial"/>
          <w:sz w:val="20"/>
          <w:szCs w:val="20"/>
        </w:rPr>
        <w:t xml:space="preserve">valor de reconocimiento del BRDP en los </w:t>
      </w:r>
      <w:r w:rsidR="0059120D" w:rsidRPr="00907CD8">
        <w:rPr>
          <w:rFonts w:ascii="Verdana" w:hAnsi="Verdana" w:cs="Arial"/>
          <w:sz w:val="20"/>
          <w:szCs w:val="20"/>
        </w:rPr>
        <w:t xml:space="preserve">términos del </w:t>
      </w:r>
      <w:r w:rsidR="000C72AC" w:rsidRPr="00907CD8">
        <w:rPr>
          <w:rFonts w:ascii="Verdana" w:hAnsi="Verdana" w:cs="Arial"/>
          <w:sz w:val="20"/>
          <w:szCs w:val="20"/>
        </w:rPr>
        <w:t>párrafo</w:t>
      </w:r>
      <w:r w:rsidR="0059120D" w:rsidRPr="00907CD8">
        <w:rPr>
          <w:rFonts w:ascii="Verdana" w:hAnsi="Verdana" w:cs="Arial"/>
          <w:sz w:val="20"/>
          <w:szCs w:val="20"/>
        </w:rPr>
        <w:t xml:space="preserve"> </w:t>
      </w:r>
      <w:r w:rsidR="005D47BA" w:rsidRPr="00907CD8">
        <w:rPr>
          <w:rFonts w:ascii="Verdana" w:hAnsi="Verdana" w:cs="Arial"/>
          <w:sz w:val="20"/>
          <w:szCs w:val="20"/>
        </w:rPr>
        <w:t>3.9.2.2</w:t>
      </w:r>
      <w:r w:rsidR="00520CAA" w:rsidRPr="00907CD8">
        <w:rPr>
          <w:rFonts w:ascii="Verdana" w:hAnsi="Verdana" w:cs="Arial"/>
          <w:sz w:val="20"/>
          <w:szCs w:val="20"/>
        </w:rPr>
        <w:t>7</w:t>
      </w:r>
      <w:r w:rsidR="002A3466">
        <w:rPr>
          <w:rFonts w:ascii="Verdana" w:hAnsi="Verdana" w:cs="Arial"/>
          <w:sz w:val="20"/>
          <w:szCs w:val="20"/>
        </w:rPr>
        <w:t>.</w:t>
      </w:r>
    </w:p>
    <w:p w14:paraId="474E084D" w14:textId="75E6F669" w:rsidR="0059120D" w:rsidRPr="00D00C85" w:rsidRDefault="00D00C85" w:rsidP="00D00C85">
      <w:pPr>
        <w:jc w:val="both"/>
        <w:rPr>
          <w:rFonts w:ascii="Verdana" w:hAnsi="Verdana" w:cs="Arial"/>
          <w:sz w:val="20"/>
          <w:szCs w:val="20"/>
        </w:rPr>
      </w:pPr>
      <m:oMath>
        <m:r>
          <w:rPr>
            <w:rFonts w:ascii="Cambria Math" w:hAnsi="Cambria Math" w:cs="Arial"/>
            <w:sz w:val="20"/>
            <w:szCs w:val="20"/>
          </w:rPr>
          <m:t>B</m:t>
        </m:r>
      </m:oMath>
      <w:r w:rsidRPr="00907CD8">
        <w:rPr>
          <w:rFonts w:ascii="Verdana" w:eastAsiaTheme="minorEastAsia" w:hAnsi="Verdana" w:cs="Arial"/>
          <w:sz w:val="20"/>
          <w:szCs w:val="20"/>
        </w:rPr>
        <w:t>:</w:t>
      </w:r>
      <w:r w:rsidRPr="00907CD8">
        <w:rPr>
          <w:rFonts w:ascii="Verdana" w:hAnsi="Verdana" w:cs="Arial"/>
          <w:sz w:val="20"/>
          <w:szCs w:val="20"/>
        </w:rPr>
        <w:t xml:space="preserve"> </w:t>
      </w:r>
      <w:r w:rsidR="0059120D" w:rsidRPr="00907CD8">
        <w:rPr>
          <w:rFonts w:ascii="Verdana" w:hAnsi="Verdana" w:cs="Arial"/>
          <w:sz w:val="20"/>
          <w:szCs w:val="20"/>
        </w:rPr>
        <w:t xml:space="preserve">corresponde a la tasa base de provisión, que se calcula de acuerdo con el </w:t>
      </w:r>
      <w:r w:rsidR="000C72AC" w:rsidRPr="00907CD8">
        <w:rPr>
          <w:rFonts w:ascii="Verdana" w:hAnsi="Verdana" w:cs="Arial"/>
          <w:sz w:val="20"/>
          <w:szCs w:val="20"/>
        </w:rPr>
        <w:t>párrafo</w:t>
      </w:r>
      <w:r w:rsidR="0059120D" w:rsidRPr="00907CD8">
        <w:rPr>
          <w:rFonts w:ascii="Verdana" w:hAnsi="Verdana" w:cs="Arial"/>
          <w:sz w:val="20"/>
          <w:szCs w:val="20"/>
        </w:rPr>
        <w:t xml:space="preserve"> </w:t>
      </w:r>
      <w:r w:rsidR="0062782A" w:rsidRPr="00907CD8">
        <w:rPr>
          <w:rFonts w:ascii="Verdana" w:hAnsi="Verdana" w:cs="Arial"/>
          <w:sz w:val="20"/>
          <w:szCs w:val="20"/>
        </w:rPr>
        <w:t>3.9.2.1</w:t>
      </w:r>
      <w:r w:rsidR="006747BA" w:rsidRPr="00907CD8">
        <w:rPr>
          <w:rFonts w:ascii="Verdana" w:hAnsi="Verdana" w:cs="Arial"/>
          <w:sz w:val="20"/>
          <w:szCs w:val="20"/>
        </w:rPr>
        <w:t>2</w:t>
      </w:r>
      <w:r w:rsidR="0062782A" w:rsidRPr="00907CD8">
        <w:rPr>
          <w:rFonts w:ascii="Verdana" w:hAnsi="Verdana" w:cs="Arial"/>
          <w:sz w:val="20"/>
          <w:szCs w:val="20"/>
        </w:rPr>
        <w:t>.</w:t>
      </w:r>
    </w:p>
    <w:p w14:paraId="1FE69342" w14:textId="72FD3051" w:rsidR="0059120D" w:rsidRPr="00D00C85" w:rsidRDefault="00D00C85" w:rsidP="00D00C85">
      <w:pPr>
        <w:jc w:val="both"/>
        <w:rPr>
          <w:rFonts w:ascii="Verdana" w:hAnsi="Verdana" w:cs="Arial"/>
          <w:sz w:val="20"/>
          <w:szCs w:val="20"/>
        </w:rPr>
      </w:pPr>
      <m:oMath>
        <m:r>
          <w:rPr>
            <w:rFonts w:ascii="Cambria Math" w:eastAsiaTheme="minorEastAsia" w:hAnsi="Cambria Math" w:cs="Arial"/>
            <w:sz w:val="20"/>
            <w:szCs w:val="20"/>
          </w:rPr>
          <m:t>F</m:t>
        </m:r>
      </m:oMath>
      <w:r>
        <w:rPr>
          <w:rFonts w:ascii="Verdana" w:eastAsiaTheme="minorEastAsia" w:hAnsi="Verdana" w:cs="Arial"/>
          <w:sz w:val="20"/>
          <w:szCs w:val="20"/>
        </w:rPr>
        <w:t>:</w:t>
      </w:r>
      <w:r w:rsidRPr="00D00C85">
        <w:rPr>
          <w:rFonts w:ascii="Verdana" w:hAnsi="Verdana" w:cs="Arial"/>
          <w:sz w:val="20"/>
          <w:szCs w:val="20"/>
        </w:rPr>
        <w:t xml:space="preserve"> </w:t>
      </w:r>
      <w:r w:rsidR="0059120D" w:rsidRPr="00D00C85">
        <w:rPr>
          <w:rFonts w:ascii="Verdana" w:hAnsi="Verdana" w:cs="Arial"/>
          <w:sz w:val="20"/>
          <w:szCs w:val="20"/>
        </w:rPr>
        <w:t xml:space="preserve">corresponde al factor de ajuste que debe adicionarse a la tasa base de </w:t>
      </w:r>
      <w:r w:rsidR="0059120D" w:rsidRPr="00123E32">
        <w:rPr>
          <w:rFonts w:ascii="Verdana" w:hAnsi="Verdana" w:cs="Arial"/>
          <w:sz w:val="20"/>
          <w:szCs w:val="20"/>
        </w:rPr>
        <w:t>provisión. Este factor se calcula de acuerdo con</w:t>
      </w:r>
      <w:r w:rsidR="00357CC2" w:rsidRPr="00123E32">
        <w:rPr>
          <w:rFonts w:ascii="Verdana" w:hAnsi="Verdana" w:cs="Arial"/>
          <w:sz w:val="20"/>
          <w:szCs w:val="20"/>
        </w:rPr>
        <w:t xml:space="preserve"> lo previsto entre los párrafos. 3.9.2.</w:t>
      </w:r>
      <w:r w:rsidR="00123E32" w:rsidRPr="00123E32">
        <w:rPr>
          <w:rFonts w:ascii="Verdana" w:hAnsi="Verdana" w:cs="Arial"/>
          <w:sz w:val="20"/>
          <w:szCs w:val="20"/>
        </w:rPr>
        <w:t xml:space="preserve">13. y 3.9.2.16. </w:t>
      </w:r>
      <w:r w:rsidR="0059120D" w:rsidRPr="00123E32">
        <w:rPr>
          <w:rFonts w:ascii="Verdana" w:hAnsi="Verdana" w:cs="Arial"/>
          <w:sz w:val="20"/>
          <w:szCs w:val="20"/>
        </w:rPr>
        <w:t xml:space="preserve"> </w:t>
      </w:r>
    </w:p>
    <w:p w14:paraId="40EE7292" w14:textId="5D44FD79" w:rsidR="0059120D" w:rsidRPr="006560CA" w:rsidRDefault="0059120D" w:rsidP="006560CA">
      <w:pPr>
        <w:pStyle w:val="Prrafodelista"/>
        <w:numPr>
          <w:ilvl w:val="0"/>
          <w:numId w:val="16"/>
        </w:numPr>
        <w:suppressAutoHyphens/>
        <w:ind w:left="284" w:hanging="284"/>
        <w:jc w:val="both"/>
        <w:rPr>
          <w:rFonts w:ascii="Verdana" w:hAnsi="Verdana" w:cs="Arial"/>
          <w:b/>
          <w:sz w:val="20"/>
          <w:szCs w:val="20"/>
        </w:rPr>
      </w:pPr>
      <w:r w:rsidRPr="006560CA">
        <w:rPr>
          <w:rFonts w:ascii="Verdana" w:hAnsi="Verdana" w:cs="Arial"/>
          <w:b/>
          <w:sz w:val="20"/>
          <w:szCs w:val="20"/>
        </w:rPr>
        <w:t>Tasa base de provisión (B)</w:t>
      </w:r>
    </w:p>
    <w:p w14:paraId="197CEBFD" w14:textId="45705E5A" w:rsidR="00215CA8" w:rsidRPr="00F47BB7" w:rsidRDefault="00215CA8" w:rsidP="00215CA8">
      <w:pPr>
        <w:spacing w:after="0"/>
        <w:rPr>
          <w:rFonts w:ascii="Verdana" w:hAnsi="Verdana"/>
          <w:sz w:val="20"/>
          <w:szCs w:val="20"/>
        </w:rPr>
      </w:pPr>
      <w:r w:rsidRPr="00F47BB7">
        <w:rPr>
          <w:rFonts w:ascii="Verdana" w:hAnsi="Verdana"/>
          <w:sz w:val="20"/>
          <w:szCs w:val="20"/>
        </w:rPr>
        <w:t>3.9.2.1</w:t>
      </w:r>
      <w:r w:rsidR="008E5BC4" w:rsidRPr="00F47BB7">
        <w:rPr>
          <w:rFonts w:ascii="Verdana" w:hAnsi="Verdana"/>
          <w:sz w:val="20"/>
          <w:szCs w:val="20"/>
        </w:rPr>
        <w:t>2</w:t>
      </w:r>
    </w:p>
    <w:p w14:paraId="31A71EF7" w14:textId="0E4E68B2" w:rsidR="0059120D" w:rsidRPr="00F47BB7" w:rsidRDefault="0059120D" w:rsidP="14528289">
      <w:pPr>
        <w:jc w:val="both"/>
        <w:rPr>
          <w:rFonts w:ascii="Verdana" w:hAnsi="Verdana" w:cs="Arial"/>
          <w:sz w:val="20"/>
          <w:szCs w:val="20"/>
        </w:rPr>
      </w:pPr>
      <w:r w:rsidRPr="00F47BB7">
        <w:rPr>
          <w:rFonts w:ascii="Verdana" w:hAnsi="Verdana" w:cs="Arial"/>
          <w:sz w:val="20"/>
          <w:szCs w:val="20"/>
        </w:rPr>
        <w:t xml:space="preserve">El modelo interno de las entidades debe contemplar una tasa base de provisión (B) que capture el valor de realización del BRDP y los flujos netos de caja, es decir, los flujos derivados de los diferentes ingresos y gastos efectuados hasta la realización </w:t>
      </w:r>
      <w:proofErr w:type="gramStart"/>
      <w:r w:rsidRPr="00F47BB7">
        <w:rPr>
          <w:rFonts w:ascii="Verdana" w:hAnsi="Verdana" w:cs="Arial"/>
          <w:sz w:val="20"/>
          <w:szCs w:val="20"/>
        </w:rPr>
        <w:t>del mismo</w:t>
      </w:r>
      <w:proofErr w:type="gramEnd"/>
      <w:r w:rsidRPr="00F47BB7">
        <w:rPr>
          <w:rFonts w:ascii="Verdana" w:hAnsi="Verdana" w:cs="Arial"/>
          <w:sz w:val="20"/>
          <w:szCs w:val="20"/>
        </w:rPr>
        <w:t>, con base en la información histórica de la entidad. El modelo debe permitir descontar estos flujos a la tasa de interés pactada en la operación cuyo incumplimiento dio lugar a la recepción del BRDP. En caso de no contar con un modelo interno, la tasa base de provisión (B) se debe calcular de la siguiente manera:</w:t>
      </w:r>
    </w:p>
    <w:p w14:paraId="1E42F990" w14:textId="77777777" w:rsidR="0059120D" w:rsidRPr="00F47BB7" w:rsidRDefault="0059120D" w:rsidP="0059120D">
      <w:pPr>
        <w:suppressAutoHyphens/>
        <w:jc w:val="both"/>
        <w:rPr>
          <w:rFonts w:ascii="Verdana" w:hAnsi="Verdana" w:cs="Arial"/>
          <w:sz w:val="20"/>
          <w:szCs w:val="20"/>
        </w:rPr>
      </w:pPr>
      <m:oMathPara>
        <m:oMath>
          <m:r>
            <w:rPr>
              <w:rFonts w:ascii="Cambria Math" w:hAnsi="Cambria Math" w:cs="Arial"/>
              <w:sz w:val="20"/>
              <w:szCs w:val="20"/>
            </w:rPr>
            <m:t>B=1-</m:t>
          </m:r>
          <m:f>
            <m:fPr>
              <m:ctrlPr>
                <w:rPr>
                  <w:rFonts w:ascii="Cambria Math" w:hAnsi="Cambria Math" w:cs="Arial"/>
                  <w:i/>
                  <w:sz w:val="20"/>
                  <w:szCs w:val="20"/>
                </w:rPr>
              </m:ctrlPr>
            </m:fPr>
            <m:num>
              <m:r>
                <w:rPr>
                  <w:rFonts w:ascii="Cambria Math" w:hAnsi="Cambria Math" w:cs="Arial"/>
                  <w:sz w:val="20"/>
                  <w:szCs w:val="20"/>
                </w:rPr>
                <m:t>VPN</m:t>
              </m:r>
            </m:num>
            <m:den>
              <m:r>
                <w:rPr>
                  <w:rFonts w:ascii="Cambria Math" w:hAnsi="Cambria Math" w:cs="Arial"/>
                  <w:sz w:val="20"/>
                  <w:szCs w:val="20"/>
                </w:rPr>
                <m:t>V.BRDP</m:t>
              </m:r>
            </m:den>
          </m:f>
        </m:oMath>
      </m:oMathPara>
    </w:p>
    <w:p w14:paraId="0CCC326E" w14:textId="77777777" w:rsidR="0059120D" w:rsidRPr="00F47BB7" w:rsidRDefault="0059120D" w:rsidP="00267383">
      <w:pPr>
        <w:jc w:val="both"/>
        <w:rPr>
          <w:rFonts w:ascii="Verdana" w:hAnsi="Verdana" w:cs="Arial"/>
          <w:sz w:val="20"/>
          <w:szCs w:val="20"/>
        </w:rPr>
      </w:pPr>
      <w:r w:rsidRPr="00F47BB7">
        <w:rPr>
          <w:rFonts w:ascii="Verdana" w:hAnsi="Verdana" w:cs="Arial"/>
          <w:sz w:val="20"/>
          <w:szCs w:val="20"/>
        </w:rPr>
        <w:t xml:space="preserve">Donde: </w:t>
      </w:r>
    </w:p>
    <w:p w14:paraId="685E87C9" w14:textId="799224EE" w:rsidR="0059120D" w:rsidRPr="00F47BB7" w:rsidRDefault="00267383" w:rsidP="00267383">
      <w:pPr>
        <w:pStyle w:val="Prrafodelista"/>
        <w:ind w:left="0"/>
        <w:jc w:val="both"/>
        <w:rPr>
          <w:rFonts w:ascii="Verdana" w:hAnsi="Verdana" w:cs="Arial"/>
          <w:sz w:val="20"/>
          <w:szCs w:val="20"/>
          <w:highlight w:val="yellow"/>
        </w:rPr>
      </w:pPr>
      <m:oMath>
        <m:r>
          <w:rPr>
            <w:rFonts w:ascii="Cambria Math" w:hAnsi="Cambria Math" w:cs="Arial"/>
            <w:sz w:val="20"/>
            <w:szCs w:val="20"/>
          </w:rPr>
          <m:t>V.BRDP</m:t>
        </m:r>
      </m:oMath>
      <w:r>
        <w:rPr>
          <w:rFonts w:ascii="Verdana" w:eastAsiaTheme="minorEastAsia" w:hAnsi="Verdana" w:cs="Arial"/>
          <w:sz w:val="20"/>
          <w:szCs w:val="20"/>
        </w:rPr>
        <w:t>:</w:t>
      </w:r>
      <w:r w:rsidR="0059120D" w:rsidRPr="00F47BB7">
        <w:rPr>
          <w:rFonts w:ascii="Verdana" w:hAnsi="Verdana" w:cs="Arial"/>
          <w:sz w:val="20"/>
          <w:szCs w:val="20"/>
        </w:rPr>
        <w:t xml:space="preserve"> corresponde al valor de reconocimiento del BRDP </w:t>
      </w:r>
      <w:r w:rsidR="002A3466" w:rsidRPr="00336EFF">
        <w:rPr>
          <w:rFonts w:ascii="Verdana" w:hAnsi="Verdana" w:cs="Arial"/>
          <w:sz w:val="20"/>
          <w:szCs w:val="20"/>
        </w:rPr>
        <w:t xml:space="preserve">en los </w:t>
      </w:r>
      <w:r w:rsidR="002A3466" w:rsidRPr="00907CD8">
        <w:rPr>
          <w:rFonts w:ascii="Verdana" w:hAnsi="Verdana" w:cs="Arial"/>
          <w:sz w:val="20"/>
          <w:szCs w:val="20"/>
        </w:rPr>
        <w:t>términos del párrafo 3.9.2.27</w:t>
      </w:r>
      <w:r w:rsidR="002A3466">
        <w:rPr>
          <w:rFonts w:ascii="Verdana" w:hAnsi="Verdana" w:cs="Arial"/>
          <w:sz w:val="20"/>
          <w:szCs w:val="20"/>
        </w:rPr>
        <w:t>.</w:t>
      </w:r>
    </w:p>
    <w:p w14:paraId="4774BBEC" w14:textId="77777777" w:rsidR="00267383" w:rsidRDefault="00267383" w:rsidP="00267383">
      <w:pPr>
        <w:pStyle w:val="Prrafodelista"/>
        <w:ind w:left="0"/>
        <w:jc w:val="both"/>
        <w:rPr>
          <w:rFonts w:ascii="Verdana" w:eastAsiaTheme="minorEastAsia" w:hAnsi="Verdana" w:cs="Arial"/>
          <w:sz w:val="20"/>
          <w:szCs w:val="20"/>
        </w:rPr>
      </w:pPr>
    </w:p>
    <w:p w14:paraId="502958D5" w14:textId="25BFBAF9" w:rsidR="0059120D" w:rsidRPr="00F47BB7" w:rsidRDefault="00267383" w:rsidP="00267383">
      <w:pPr>
        <w:pStyle w:val="Prrafodelista"/>
        <w:ind w:left="0"/>
        <w:jc w:val="both"/>
        <w:rPr>
          <w:rFonts w:ascii="Verdana" w:hAnsi="Verdana" w:cs="Arial"/>
          <w:sz w:val="20"/>
          <w:szCs w:val="20"/>
        </w:rPr>
      </w:pPr>
      <m:oMath>
        <m:r>
          <w:rPr>
            <w:rFonts w:ascii="Cambria Math" w:hAnsi="Cambria Math" w:cs="Arial"/>
            <w:sz w:val="20"/>
            <w:szCs w:val="20"/>
          </w:rPr>
          <m:t>VPN</m:t>
        </m:r>
      </m:oMath>
      <w:r>
        <w:rPr>
          <w:rFonts w:ascii="Verdana" w:eastAsiaTheme="minorEastAsia" w:hAnsi="Verdana" w:cs="Arial"/>
          <w:sz w:val="20"/>
          <w:szCs w:val="20"/>
        </w:rPr>
        <w:t>:</w:t>
      </w:r>
      <w:r w:rsidR="0059120D" w:rsidRPr="00F47BB7">
        <w:rPr>
          <w:rFonts w:ascii="Verdana" w:hAnsi="Verdana" w:cs="Arial"/>
          <w:bCs/>
          <w:sz w:val="20"/>
          <w:szCs w:val="20"/>
        </w:rPr>
        <w:t xml:space="preserve"> corresponde al valor presente de los flujos totales que se reciben por la tenencia y enajenación del BRDP. </w:t>
      </w:r>
      <w:r w:rsidR="0059120D" w:rsidRPr="00F47BB7">
        <w:rPr>
          <w:rFonts w:ascii="Verdana" w:hAnsi="Verdana" w:cs="Arial"/>
          <w:sz w:val="20"/>
          <w:szCs w:val="20"/>
        </w:rPr>
        <w:t>El valor presente debe contemplar todos los flujos asociados al BRDP, tal como se indica en la siguiente ecuación:</w:t>
      </w:r>
    </w:p>
    <w:p w14:paraId="44C02332" w14:textId="33DD1018" w:rsidR="00A538F9" w:rsidRPr="00F47BB7" w:rsidRDefault="0059120D" w:rsidP="0059120D">
      <w:pPr>
        <w:jc w:val="both"/>
        <w:rPr>
          <w:rFonts w:ascii="Verdana" w:hAnsi="Verdana" w:cs="Arial"/>
          <w:sz w:val="20"/>
          <w:szCs w:val="20"/>
        </w:rPr>
      </w:pPr>
      <m:oMathPara>
        <m:oMath>
          <m:r>
            <w:rPr>
              <w:rFonts w:ascii="Cambria Math" w:hAnsi="Cambria Math" w:cs="Arial"/>
              <w:sz w:val="20"/>
              <w:szCs w:val="20"/>
            </w:rPr>
            <m:t>VPN=</m:t>
          </m:r>
          <m:f>
            <m:fPr>
              <m:ctrlPr>
                <w:rPr>
                  <w:rFonts w:ascii="Cambria Math" w:hAnsi="Cambria Math" w:cs="Arial"/>
                  <w:i/>
                  <w:sz w:val="20"/>
                  <w:szCs w:val="20"/>
                </w:rPr>
              </m:ctrlPr>
            </m:fPr>
            <m:num>
              <m:r>
                <w:rPr>
                  <w:rFonts w:ascii="Cambria Math" w:hAnsi="Cambria Math" w:cs="Arial"/>
                  <w:sz w:val="20"/>
                  <w:szCs w:val="20"/>
                </w:rPr>
                <m:t>V.venta BRDP</m:t>
              </m:r>
            </m:num>
            <m:den>
              <m:sSup>
                <m:sSupPr>
                  <m:ctrlPr>
                    <w:rPr>
                      <w:rFonts w:ascii="Cambria Math" w:hAnsi="Cambria Math" w:cs="Arial"/>
                      <w:i/>
                      <w:sz w:val="20"/>
                      <w:szCs w:val="20"/>
                    </w:rPr>
                  </m:ctrlPr>
                </m:sSupPr>
                <m:e>
                  <m:d>
                    <m:dPr>
                      <m:ctrlPr>
                        <w:rPr>
                          <w:rFonts w:ascii="Cambria Math" w:hAnsi="Cambria Math" w:cs="Arial"/>
                          <w:i/>
                          <w:sz w:val="20"/>
                          <w:szCs w:val="20"/>
                        </w:rPr>
                      </m:ctrlPr>
                    </m:dPr>
                    <m:e>
                      <m:r>
                        <w:rPr>
                          <w:rFonts w:ascii="Cambria Math" w:hAnsi="Cambria Math" w:cs="Arial"/>
                          <w:sz w:val="20"/>
                          <w:szCs w:val="20"/>
                        </w:rPr>
                        <m:t>1+r</m:t>
                      </m:r>
                    </m:e>
                  </m:d>
                </m:e>
                <m:sup>
                  <m:r>
                    <w:rPr>
                      <w:rFonts w:ascii="Cambria Math" w:hAnsi="Cambria Math" w:cs="Arial"/>
                      <w:sz w:val="20"/>
                      <w:szCs w:val="20"/>
                    </w:rPr>
                    <m:t>n</m:t>
                  </m:r>
                </m:sup>
              </m:sSup>
            </m:den>
          </m:f>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t=1</m:t>
              </m:r>
            </m:sub>
            <m:sup>
              <m:r>
                <w:rPr>
                  <w:rFonts w:ascii="Cambria Math" w:hAnsi="Cambria Math" w:cs="Arial"/>
                  <w:sz w:val="20"/>
                  <w:szCs w:val="20"/>
                </w:rPr>
                <m:t>n</m:t>
              </m:r>
            </m:sup>
            <m:e>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Flujos netos</m:t>
                      </m:r>
                    </m:e>
                    <m:sub>
                      <m:r>
                        <w:rPr>
                          <w:rFonts w:ascii="Cambria Math" w:hAnsi="Cambria Math" w:cs="Arial"/>
                          <w:sz w:val="20"/>
                          <w:szCs w:val="20"/>
                        </w:rPr>
                        <m:t>t</m:t>
                      </m:r>
                    </m:sub>
                  </m:sSub>
                </m:num>
                <m:den>
                  <m:sSup>
                    <m:sSupPr>
                      <m:ctrlPr>
                        <w:rPr>
                          <w:rFonts w:ascii="Cambria Math" w:hAnsi="Cambria Math" w:cs="Arial"/>
                          <w:i/>
                          <w:sz w:val="20"/>
                          <w:szCs w:val="20"/>
                        </w:rPr>
                      </m:ctrlPr>
                    </m:sSupPr>
                    <m:e>
                      <m:d>
                        <m:dPr>
                          <m:ctrlPr>
                            <w:rPr>
                              <w:rFonts w:ascii="Cambria Math" w:hAnsi="Cambria Math" w:cs="Arial"/>
                              <w:i/>
                              <w:sz w:val="20"/>
                              <w:szCs w:val="20"/>
                            </w:rPr>
                          </m:ctrlPr>
                        </m:dPr>
                        <m:e>
                          <m:r>
                            <w:rPr>
                              <w:rFonts w:ascii="Cambria Math" w:hAnsi="Cambria Math" w:cs="Arial"/>
                              <w:sz w:val="20"/>
                              <w:szCs w:val="20"/>
                            </w:rPr>
                            <m:t>1+r</m:t>
                          </m:r>
                        </m:e>
                      </m:d>
                    </m:e>
                    <m:sup>
                      <m:r>
                        <w:rPr>
                          <w:rFonts w:ascii="Cambria Math" w:hAnsi="Cambria Math" w:cs="Arial"/>
                          <w:sz w:val="20"/>
                          <w:szCs w:val="20"/>
                        </w:rPr>
                        <m:t>t</m:t>
                      </m:r>
                    </m:sup>
                  </m:sSup>
                </m:den>
              </m:f>
            </m:e>
          </m:nary>
        </m:oMath>
      </m:oMathPara>
    </w:p>
    <w:p w14:paraId="2E50C610" w14:textId="5CAF1B88" w:rsidR="0059120D" w:rsidRPr="00F47BB7" w:rsidRDefault="0059120D" w:rsidP="00267383">
      <w:pPr>
        <w:jc w:val="both"/>
        <w:rPr>
          <w:rFonts w:ascii="Verdana" w:hAnsi="Verdana" w:cs="Arial"/>
          <w:sz w:val="20"/>
          <w:szCs w:val="20"/>
        </w:rPr>
      </w:pPr>
      <w:r w:rsidRPr="00F47BB7">
        <w:rPr>
          <w:rFonts w:ascii="Verdana" w:hAnsi="Verdana" w:cs="Arial"/>
          <w:sz w:val="20"/>
          <w:szCs w:val="20"/>
        </w:rPr>
        <w:t>Donde:</w:t>
      </w:r>
    </w:p>
    <w:p w14:paraId="479CADA7" w14:textId="18A91982" w:rsidR="0059120D" w:rsidRPr="00F47BB7" w:rsidRDefault="003360A4" w:rsidP="00267383">
      <w:pPr>
        <w:jc w:val="both"/>
        <w:rPr>
          <w:rFonts w:ascii="Verdana" w:hAnsi="Verdana" w:cs="Arial"/>
          <w:bCs/>
          <w:sz w:val="20"/>
          <w:szCs w:val="20"/>
        </w:rPr>
      </w:pPr>
      <m:oMath>
        <m:r>
          <w:rPr>
            <w:rFonts w:ascii="Cambria Math" w:hAnsi="Cambria Math" w:cs="Arial"/>
            <w:sz w:val="20"/>
            <w:szCs w:val="20"/>
          </w:rPr>
          <m:t>V.venta BRDP</m:t>
        </m:r>
      </m:oMath>
      <w:r>
        <w:rPr>
          <w:rFonts w:ascii="Verdana" w:eastAsiaTheme="minorEastAsia" w:hAnsi="Verdana" w:cs="Arial"/>
          <w:sz w:val="20"/>
          <w:szCs w:val="20"/>
        </w:rPr>
        <w:t>:</w:t>
      </w:r>
      <w:r w:rsidR="0059120D" w:rsidRPr="00F47BB7">
        <w:rPr>
          <w:rFonts w:ascii="Verdana" w:hAnsi="Verdana" w:cs="Arial"/>
          <w:bCs/>
          <w:sz w:val="20"/>
          <w:szCs w:val="20"/>
        </w:rPr>
        <w:t xml:space="preserve"> corresponde al valor por el cual se proyecta vender el BRDP, de acuerdo con los avalúos técnicos que se realicen de conformidad con la normatividad aplicable y en consideración del estado del BRDP.  </w:t>
      </w:r>
    </w:p>
    <w:p w14:paraId="11667050" w14:textId="0503C793" w:rsidR="0059120D" w:rsidRPr="00F47BB7" w:rsidRDefault="003360A4" w:rsidP="00267383">
      <w:pPr>
        <w:jc w:val="both"/>
        <w:rPr>
          <w:rFonts w:ascii="Verdana" w:hAnsi="Verdana" w:cs="Arial"/>
          <w:bCs/>
          <w:sz w:val="20"/>
          <w:szCs w:val="20"/>
        </w:rPr>
      </w:pPr>
      <m:oMath>
        <m:r>
          <w:rPr>
            <w:rFonts w:ascii="Cambria Math" w:hAnsi="Cambria Math" w:cs="Arial"/>
            <w:sz w:val="20"/>
            <w:szCs w:val="20"/>
          </w:rPr>
          <m:t>n</m:t>
        </m:r>
      </m:oMath>
      <w:r>
        <w:rPr>
          <w:rFonts w:ascii="Verdana" w:eastAsiaTheme="minorEastAsia" w:hAnsi="Verdana" w:cs="Arial"/>
          <w:sz w:val="20"/>
          <w:szCs w:val="20"/>
        </w:rPr>
        <w:t>:</w:t>
      </w:r>
      <w:r w:rsidR="0059120D" w:rsidRPr="00F47BB7">
        <w:rPr>
          <w:rFonts w:ascii="Verdana" w:hAnsi="Verdana" w:cs="Arial"/>
          <w:bCs/>
          <w:sz w:val="20"/>
          <w:szCs w:val="20"/>
        </w:rPr>
        <w:t xml:space="preserve"> corresponde al número de meses que transcurren hasta la enajenación del BRDP.</w:t>
      </w:r>
    </w:p>
    <w:p w14:paraId="798506B6" w14:textId="5CF2E25D" w:rsidR="0059120D" w:rsidRPr="00F47BB7" w:rsidRDefault="003360A4" w:rsidP="00267383">
      <w:pPr>
        <w:jc w:val="both"/>
        <w:rPr>
          <w:rFonts w:ascii="Verdana" w:hAnsi="Verdana" w:cs="Arial"/>
          <w:bCs/>
          <w:sz w:val="20"/>
          <w:szCs w:val="20"/>
        </w:rPr>
      </w:pPr>
      <m:oMath>
        <m:r>
          <w:rPr>
            <w:rFonts w:ascii="Cambria Math" w:hAnsi="Cambria Math" w:cs="Arial"/>
            <w:sz w:val="20"/>
            <w:szCs w:val="20"/>
          </w:rPr>
          <m:t>r</m:t>
        </m:r>
      </m:oMath>
      <w:r>
        <w:rPr>
          <w:rFonts w:ascii="Verdana" w:eastAsiaTheme="minorEastAsia" w:hAnsi="Verdana" w:cs="Arial"/>
          <w:sz w:val="20"/>
          <w:szCs w:val="20"/>
        </w:rPr>
        <w:t xml:space="preserve">: </w:t>
      </w:r>
      <w:r w:rsidR="0059120D" w:rsidRPr="00F47BB7">
        <w:rPr>
          <w:rFonts w:ascii="Verdana" w:hAnsi="Verdana" w:cs="Arial"/>
          <w:bCs/>
          <w:sz w:val="20"/>
          <w:szCs w:val="20"/>
        </w:rPr>
        <w:t xml:space="preserve">corresponde a </w:t>
      </w:r>
      <w:r w:rsidR="0059120D" w:rsidRPr="00F47BB7">
        <w:rPr>
          <w:rFonts w:ascii="Verdana" w:hAnsi="Verdana" w:cs="Arial"/>
          <w:sz w:val="20"/>
          <w:szCs w:val="20"/>
        </w:rPr>
        <w:t>la tasa de descuento, es decir, la tasa de interés pactada en la operación cuyo incumplimiento dio lugar a la recepción del BRDP. Esta variable se debe expresar en términos mensuales.</w:t>
      </w:r>
    </w:p>
    <w:p w14:paraId="7F5F7A03" w14:textId="1E9ABA74" w:rsidR="0059120D" w:rsidRPr="00F47BB7" w:rsidRDefault="003365CA" w:rsidP="003360A4">
      <w:pPr>
        <w:suppressAutoHyphen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Flujos netos</m:t>
            </m:r>
          </m:e>
          <m:sub>
            <m:r>
              <w:rPr>
                <w:rFonts w:ascii="Cambria Math" w:hAnsi="Cambria Math" w:cs="Arial"/>
                <w:sz w:val="20"/>
                <w:szCs w:val="20"/>
              </w:rPr>
              <m:t>t</m:t>
            </m:r>
          </m:sub>
        </m:sSub>
      </m:oMath>
      <w:r w:rsidR="003360A4">
        <w:rPr>
          <w:rFonts w:ascii="Verdana" w:eastAsiaTheme="minorEastAsia" w:hAnsi="Verdana" w:cs="Arial"/>
          <w:sz w:val="20"/>
          <w:szCs w:val="20"/>
        </w:rPr>
        <w:t>:</w:t>
      </w:r>
      <w:r w:rsidR="0059120D" w:rsidRPr="00F47BB7">
        <w:rPr>
          <w:rFonts w:ascii="Verdana" w:hAnsi="Verdana" w:cs="Arial"/>
          <w:bCs/>
          <w:sz w:val="20"/>
          <w:szCs w:val="20"/>
        </w:rPr>
        <w:t xml:space="preserve"> corresponde a la diferencia entre los ingresos que genera el BRDP y los gastos incurridos para su mantenimiento y venta en el momento </w:t>
      </w:r>
      <m:oMath>
        <m:r>
          <w:rPr>
            <w:rFonts w:ascii="Cambria Math" w:hAnsi="Cambria Math" w:cs="Arial"/>
            <w:sz w:val="20"/>
            <w:szCs w:val="20"/>
          </w:rPr>
          <m:t>t</m:t>
        </m:r>
      </m:oMath>
      <w:r w:rsidR="0059120D" w:rsidRPr="00F47BB7">
        <w:rPr>
          <w:rFonts w:ascii="Verdana" w:hAnsi="Verdana" w:cs="Arial"/>
          <w:bCs/>
          <w:sz w:val="20"/>
          <w:szCs w:val="20"/>
        </w:rPr>
        <w:t>. Este valor puede ser negativo.</w:t>
      </w:r>
    </w:p>
    <w:p w14:paraId="70BFBAE4" w14:textId="3F98C01C" w:rsidR="0059120D" w:rsidRPr="003360A4" w:rsidRDefault="0059120D" w:rsidP="003360A4">
      <w:pPr>
        <w:pStyle w:val="Prrafodelista"/>
        <w:numPr>
          <w:ilvl w:val="0"/>
          <w:numId w:val="16"/>
        </w:numPr>
        <w:suppressAutoHyphens/>
        <w:ind w:left="284" w:hanging="284"/>
        <w:jc w:val="both"/>
        <w:rPr>
          <w:rFonts w:ascii="Verdana" w:hAnsi="Verdana" w:cs="Arial"/>
          <w:b/>
          <w:sz w:val="20"/>
          <w:szCs w:val="20"/>
        </w:rPr>
      </w:pPr>
      <w:r w:rsidRPr="003360A4">
        <w:rPr>
          <w:rFonts w:ascii="Verdana" w:hAnsi="Verdana" w:cs="Arial"/>
          <w:b/>
          <w:sz w:val="20"/>
          <w:szCs w:val="20"/>
        </w:rPr>
        <w:t>Factor de ajuste de la provisión (F)</w:t>
      </w:r>
    </w:p>
    <w:p w14:paraId="0BCF8A9B" w14:textId="4BF82543" w:rsidR="00095D25" w:rsidRPr="00F47BB7" w:rsidRDefault="00095D25" w:rsidP="00095D25">
      <w:pPr>
        <w:spacing w:after="0"/>
        <w:rPr>
          <w:rFonts w:ascii="Verdana" w:hAnsi="Verdana"/>
          <w:sz w:val="20"/>
          <w:szCs w:val="20"/>
        </w:rPr>
      </w:pPr>
      <w:r w:rsidRPr="00F47BB7">
        <w:rPr>
          <w:rFonts w:ascii="Verdana" w:hAnsi="Verdana"/>
          <w:sz w:val="20"/>
          <w:szCs w:val="20"/>
        </w:rPr>
        <w:t>3.9.2.1</w:t>
      </w:r>
      <w:r w:rsidR="00E47B72" w:rsidRPr="00F47BB7">
        <w:rPr>
          <w:rFonts w:ascii="Verdana" w:hAnsi="Verdana"/>
          <w:sz w:val="20"/>
          <w:szCs w:val="20"/>
        </w:rPr>
        <w:t>3</w:t>
      </w:r>
    </w:p>
    <w:p w14:paraId="51A1EDEE" w14:textId="77777777" w:rsidR="0059120D" w:rsidRPr="00F47BB7" w:rsidRDefault="0059120D" w:rsidP="14528289">
      <w:pPr>
        <w:jc w:val="both"/>
        <w:rPr>
          <w:rFonts w:ascii="Verdana" w:hAnsi="Verdana" w:cs="Arial"/>
          <w:sz w:val="20"/>
          <w:szCs w:val="20"/>
        </w:rPr>
      </w:pPr>
      <w:r w:rsidRPr="00F47BB7">
        <w:rPr>
          <w:rFonts w:ascii="Verdana" w:hAnsi="Verdana" w:cs="Arial"/>
          <w:sz w:val="20"/>
          <w:szCs w:val="20"/>
        </w:rPr>
        <w:t xml:space="preserve">El modelo debe considerar que a la tasa base de provisión (B), debe adicionarse un factor de ajuste (F) en función del tiempo transcurrido antes de la venta de cada BRDP. Este factor debe estar representado por una función que ajuste la provisión en relación con el tiempo que haya transcurrido desde la recepción del BRDP hasta alcanzar una tasa de provisión del 80% al cabo de un plazo máximo de 48 meses (4 años). </w:t>
      </w:r>
    </w:p>
    <w:p w14:paraId="21AF9F39" w14:textId="1E5158C5" w:rsidR="00E710E7" w:rsidRPr="00F47BB7" w:rsidRDefault="00E710E7" w:rsidP="00E710E7">
      <w:pPr>
        <w:spacing w:after="0"/>
        <w:rPr>
          <w:rFonts w:ascii="Verdana" w:hAnsi="Verdana"/>
          <w:sz w:val="20"/>
          <w:szCs w:val="20"/>
        </w:rPr>
      </w:pPr>
      <w:r w:rsidRPr="00F47BB7">
        <w:rPr>
          <w:rFonts w:ascii="Verdana" w:hAnsi="Verdana"/>
          <w:sz w:val="20"/>
          <w:szCs w:val="20"/>
        </w:rPr>
        <w:t>3.9.2.1</w:t>
      </w:r>
      <w:r w:rsidR="00E47B72" w:rsidRPr="00F47BB7">
        <w:rPr>
          <w:rFonts w:ascii="Verdana" w:hAnsi="Verdana"/>
          <w:sz w:val="20"/>
          <w:szCs w:val="20"/>
        </w:rPr>
        <w:t>4</w:t>
      </w:r>
    </w:p>
    <w:p w14:paraId="26FEFE0D" w14:textId="77777777" w:rsidR="0059120D" w:rsidRPr="00F47BB7" w:rsidRDefault="0059120D" w:rsidP="14528289">
      <w:pPr>
        <w:jc w:val="both"/>
        <w:rPr>
          <w:rFonts w:ascii="Verdana" w:hAnsi="Verdana" w:cs="Arial"/>
          <w:sz w:val="20"/>
          <w:szCs w:val="20"/>
        </w:rPr>
      </w:pPr>
      <w:r w:rsidRPr="00F47BB7">
        <w:rPr>
          <w:rFonts w:ascii="Verdana" w:hAnsi="Verdana" w:cs="Arial"/>
          <w:sz w:val="20"/>
          <w:szCs w:val="20"/>
        </w:rPr>
        <w:t>En todos los casos la función de ajuste debe calcularse teniendo en cuenta el plazo anteriormente señalado. Sin embargo, en caso de que la junta directiva no autorice la prórroga antes del vencimiento del plazo inicial de 24 meses (2 años), la entidad debe constituir una provisión adicional hasta alcanzar el 80% del valor del BRDP una vez cumplidos los 2 años de que trata el numeral 6 del artículo 110 del EOSF.</w:t>
      </w:r>
    </w:p>
    <w:p w14:paraId="262D0154" w14:textId="3345360F" w:rsidR="009D2160" w:rsidRPr="00F47BB7" w:rsidRDefault="009D2160" w:rsidP="009D2160">
      <w:pPr>
        <w:spacing w:after="0"/>
        <w:rPr>
          <w:rFonts w:ascii="Verdana" w:hAnsi="Verdana"/>
          <w:sz w:val="20"/>
          <w:szCs w:val="20"/>
        </w:rPr>
      </w:pPr>
      <w:r w:rsidRPr="00F47BB7">
        <w:rPr>
          <w:rFonts w:ascii="Verdana" w:hAnsi="Verdana"/>
          <w:sz w:val="20"/>
          <w:szCs w:val="20"/>
        </w:rPr>
        <w:t>3.9.2.1</w:t>
      </w:r>
      <w:r w:rsidR="00E47B72" w:rsidRPr="00F47BB7">
        <w:rPr>
          <w:rFonts w:ascii="Verdana" w:hAnsi="Verdana"/>
          <w:sz w:val="20"/>
          <w:szCs w:val="20"/>
        </w:rPr>
        <w:t>5</w:t>
      </w:r>
    </w:p>
    <w:p w14:paraId="254A9D62" w14:textId="67E23F5F" w:rsidR="0059120D" w:rsidRPr="00F47BB7" w:rsidRDefault="0059120D" w:rsidP="0059120D">
      <w:pPr>
        <w:jc w:val="both"/>
        <w:rPr>
          <w:rFonts w:ascii="Verdana" w:hAnsi="Verdana" w:cs="Arial"/>
          <w:sz w:val="20"/>
          <w:szCs w:val="20"/>
        </w:rPr>
      </w:pPr>
      <w:r w:rsidRPr="00F47BB7">
        <w:rPr>
          <w:rFonts w:ascii="Verdana" w:hAnsi="Verdana" w:cs="Arial"/>
          <w:sz w:val="20"/>
          <w:szCs w:val="20"/>
        </w:rPr>
        <w:t xml:space="preserve">En caso de que la entidad no establezca un factor de ajuste en sus modelos internos, el factor a utilizar se debe tomar de la siguiente tabla: </w:t>
      </w:r>
    </w:p>
    <w:tbl>
      <w:tblPr>
        <w:tblW w:w="6460" w:type="dxa"/>
        <w:tblInd w:w="1187" w:type="dxa"/>
        <w:tblCellMar>
          <w:left w:w="70" w:type="dxa"/>
          <w:right w:w="70" w:type="dxa"/>
        </w:tblCellMar>
        <w:tblLook w:val="0000" w:firstRow="0" w:lastRow="0" w:firstColumn="0" w:lastColumn="0" w:noHBand="0" w:noVBand="0"/>
      </w:tblPr>
      <w:tblGrid>
        <w:gridCol w:w="1660"/>
        <w:gridCol w:w="1049"/>
        <w:gridCol w:w="1250"/>
        <w:gridCol w:w="1250"/>
        <w:gridCol w:w="1251"/>
      </w:tblGrid>
      <w:tr w:rsidR="0059120D" w:rsidRPr="00F47BB7" w14:paraId="5AE586E9" w14:textId="77777777">
        <w:trPr>
          <w:trHeight w:val="255"/>
        </w:trPr>
        <w:tc>
          <w:tcPr>
            <w:tcW w:w="1660" w:type="dxa"/>
            <w:vMerge w:val="restart"/>
            <w:tcBorders>
              <w:top w:val="single" w:sz="4" w:space="0" w:color="auto"/>
              <w:left w:val="single" w:sz="4" w:space="0" w:color="auto"/>
              <w:bottom w:val="nil"/>
              <w:right w:val="single" w:sz="4" w:space="0" w:color="auto"/>
            </w:tcBorders>
            <w:vAlign w:val="center"/>
          </w:tcPr>
          <w:p w14:paraId="3A847585" w14:textId="77777777" w:rsidR="0059120D" w:rsidRPr="00A76E83" w:rsidRDefault="0059120D">
            <w:pPr>
              <w:jc w:val="both"/>
              <w:rPr>
                <w:rFonts w:ascii="Verdana" w:hAnsi="Verdana" w:cs="Arial"/>
                <w:sz w:val="16"/>
                <w:szCs w:val="16"/>
              </w:rPr>
            </w:pPr>
            <w:r w:rsidRPr="00A76E83">
              <w:rPr>
                <w:rFonts w:ascii="Verdana" w:hAnsi="Verdana" w:cs="Arial"/>
                <w:sz w:val="16"/>
                <w:szCs w:val="16"/>
              </w:rPr>
              <w:t>Tasa Base de Provisión (B)</w:t>
            </w:r>
          </w:p>
        </w:tc>
        <w:tc>
          <w:tcPr>
            <w:tcW w:w="4800" w:type="dxa"/>
            <w:gridSpan w:val="4"/>
            <w:tcBorders>
              <w:top w:val="single" w:sz="4" w:space="0" w:color="auto"/>
              <w:left w:val="nil"/>
              <w:bottom w:val="single" w:sz="4" w:space="0" w:color="auto"/>
              <w:right w:val="single" w:sz="4" w:space="0" w:color="000000"/>
            </w:tcBorders>
            <w:vAlign w:val="center"/>
          </w:tcPr>
          <w:p w14:paraId="069D4826" w14:textId="77777777" w:rsidR="0059120D" w:rsidRPr="00A76E83" w:rsidRDefault="0059120D">
            <w:pPr>
              <w:jc w:val="both"/>
              <w:rPr>
                <w:rFonts w:ascii="Verdana" w:hAnsi="Verdana" w:cs="Arial"/>
                <w:sz w:val="16"/>
                <w:szCs w:val="16"/>
              </w:rPr>
            </w:pPr>
            <w:r w:rsidRPr="00A76E83">
              <w:rPr>
                <w:rFonts w:ascii="Verdana" w:hAnsi="Verdana" w:cs="Arial"/>
                <w:sz w:val="16"/>
                <w:szCs w:val="16"/>
              </w:rPr>
              <w:t>Función de ajuste (F)</w:t>
            </w:r>
          </w:p>
        </w:tc>
      </w:tr>
      <w:tr w:rsidR="0059120D" w:rsidRPr="00F47BB7" w14:paraId="2D0A9CC6" w14:textId="77777777">
        <w:trPr>
          <w:trHeight w:val="255"/>
        </w:trPr>
        <w:tc>
          <w:tcPr>
            <w:tcW w:w="1660" w:type="dxa"/>
            <w:vMerge/>
            <w:tcBorders>
              <w:top w:val="single" w:sz="4" w:space="0" w:color="auto"/>
              <w:left w:val="single" w:sz="4" w:space="0" w:color="auto"/>
              <w:bottom w:val="nil"/>
              <w:right w:val="single" w:sz="4" w:space="0" w:color="auto"/>
            </w:tcBorders>
            <w:vAlign w:val="center"/>
          </w:tcPr>
          <w:p w14:paraId="32757FD2" w14:textId="77777777" w:rsidR="0059120D" w:rsidRPr="00A76E83" w:rsidRDefault="0059120D">
            <w:pPr>
              <w:jc w:val="both"/>
              <w:rPr>
                <w:rFonts w:ascii="Verdana" w:hAnsi="Verdana" w:cs="Arial"/>
                <w:sz w:val="16"/>
                <w:szCs w:val="16"/>
              </w:rPr>
            </w:pPr>
          </w:p>
        </w:tc>
        <w:tc>
          <w:tcPr>
            <w:tcW w:w="4800" w:type="dxa"/>
            <w:gridSpan w:val="4"/>
            <w:tcBorders>
              <w:top w:val="single" w:sz="4" w:space="0" w:color="auto"/>
              <w:left w:val="nil"/>
              <w:bottom w:val="single" w:sz="4" w:space="0" w:color="auto"/>
              <w:right w:val="single" w:sz="4" w:space="0" w:color="000000"/>
            </w:tcBorders>
            <w:vAlign w:val="center"/>
          </w:tcPr>
          <w:p w14:paraId="60B579B2" w14:textId="77777777" w:rsidR="0059120D" w:rsidRPr="00A76E83" w:rsidRDefault="0059120D">
            <w:pPr>
              <w:jc w:val="both"/>
              <w:rPr>
                <w:rFonts w:ascii="Verdana" w:hAnsi="Verdana" w:cs="Arial"/>
                <w:sz w:val="16"/>
                <w:szCs w:val="16"/>
              </w:rPr>
            </w:pPr>
            <w:r w:rsidRPr="00A76E83">
              <w:rPr>
                <w:rFonts w:ascii="Verdana" w:hAnsi="Verdana" w:cs="Arial"/>
                <w:sz w:val="16"/>
                <w:szCs w:val="16"/>
              </w:rPr>
              <w:t>Meses</w:t>
            </w:r>
          </w:p>
        </w:tc>
      </w:tr>
      <w:tr w:rsidR="0059120D" w:rsidRPr="00F47BB7" w14:paraId="04370C4C" w14:textId="77777777">
        <w:trPr>
          <w:trHeight w:val="255"/>
        </w:trPr>
        <w:tc>
          <w:tcPr>
            <w:tcW w:w="1660" w:type="dxa"/>
            <w:vMerge/>
            <w:tcBorders>
              <w:top w:val="single" w:sz="4" w:space="0" w:color="auto"/>
              <w:left w:val="single" w:sz="4" w:space="0" w:color="auto"/>
              <w:bottom w:val="nil"/>
              <w:right w:val="single" w:sz="4" w:space="0" w:color="auto"/>
            </w:tcBorders>
            <w:vAlign w:val="center"/>
          </w:tcPr>
          <w:p w14:paraId="0B2D1C1E" w14:textId="77777777" w:rsidR="0059120D" w:rsidRPr="00A76E83" w:rsidRDefault="0059120D">
            <w:pPr>
              <w:jc w:val="both"/>
              <w:rPr>
                <w:rFonts w:ascii="Verdana" w:hAnsi="Verdana" w:cs="Arial"/>
                <w:sz w:val="16"/>
                <w:szCs w:val="16"/>
              </w:rPr>
            </w:pPr>
          </w:p>
        </w:tc>
        <w:tc>
          <w:tcPr>
            <w:tcW w:w="1049" w:type="dxa"/>
            <w:tcBorders>
              <w:top w:val="nil"/>
              <w:left w:val="nil"/>
              <w:bottom w:val="single" w:sz="4" w:space="0" w:color="auto"/>
              <w:right w:val="single" w:sz="4" w:space="0" w:color="auto"/>
            </w:tcBorders>
            <w:noWrap/>
            <w:vAlign w:val="bottom"/>
          </w:tcPr>
          <w:p w14:paraId="5C9C699D" w14:textId="77777777" w:rsidR="0059120D" w:rsidRPr="00A76E83" w:rsidRDefault="0059120D">
            <w:pPr>
              <w:jc w:val="both"/>
              <w:rPr>
                <w:rFonts w:ascii="Verdana" w:hAnsi="Verdana" w:cs="Arial"/>
                <w:sz w:val="16"/>
                <w:szCs w:val="16"/>
              </w:rPr>
            </w:pPr>
            <w:r w:rsidRPr="00A76E83">
              <w:rPr>
                <w:rFonts w:ascii="Verdana" w:hAnsi="Verdana" w:cs="Arial"/>
                <w:sz w:val="16"/>
                <w:szCs w:val="16"/>
              </w:rPr>
              <w:t>12</w:t>
            </w:r>
          </w:p>
        </w:tc>
        <w:tc>
          <w:tcPr>
            <w:tcW w:w="1250" w:type="dxa"/>
            <w:tcBorders>
              <w:top w:val="nil"/>
              <w:left w:val="nil"/>
              <w:bottom w:val="single" w:sz="4" w:space="0" w:color="auto"/>
              <w:right w:val="nil"/>
            </w:tcBorders>
            <w:noWrap/>
            <w:vAlign w:val="bottom"/>
          </w:tcPr>
          <w:p w14:paraId="778C8725" w14:textId="77777777" w:rsidR="0059120D" w:rsidRPr="00A76E83" w:rsidRDefault="0059120D">
            <w:pPr>
              <w:jc w:val="both"/>
              <w:rPr>
                <w:rFonts w:ascii="Verdana" w:hAnsi="Verdana" w:cs="Arial"/>
                <w:sz w:val="16"/>
                <w:szCs w:val="16"/>
              </w:rPr>
            </w:pPr>
            <w:r w:rsidRPr="00A76E83">
              <w:rPr>
                <w:rFonts w:ascii="Verdana" w:hAnsi="Verdana" w:cs="Arial"/>
                <w:sz w:val="16"/>
                <w:szCs w:val="16"/>
              </w:rPr>
              <w:t>24</w:t>
            </w:r>
          </w:p>
        </w:tc>
        <w:tc>
          <w:tcPr>
            <w:tcW w:w="1250" w:type="dxa"/>
            <w:tcBorders>
              <w:top w:val="nil"/>
              <w:left w:val="single" w:sz="4" w:space="0" w:color="auto"/>
              <w:bottom w:val="single" w:sz="4" w:space="0" w:color="auto"/>
              <w:right w:val="single" w:sz="4" w:space="0" w:color="auto"/>
            </w:tcBorders>
            <w:noWrap/>
            <w:vAlign w:val="bottom"/>
          </w:tcPr>
          <w:p w14:paraId="652991D9" w14:textId="77777777" w:rsidR="0059120D" w:rsidRPr="00A76E83" w:rsidRDefault="0059120D">
            <w:pPr>
              <w:jc w:val="both"/>
              <w:rPr>
                <w:rFonts w:ascii="Verdana" w:hAnsi="Verdana" w:cs="Arial"/>
                <w:sz w:val="16"/>
                <w:szCs w:val="16"/>
              </w:rPr>
            </w:pPr>
            <w:r w:rsidRPr="00A76E83">
              <w:rPr>
                <w:rFonts w:ascii="Verdana" w:hAnsi="Verdana" w:cs="Arial"/>
                <w:sz w:val="16"/>
                <w:szCs w:val="16"/>
              </w:rPr>
              <w:t>36</w:t>
            </w:r>
          </w:p>
        </w:tc>
        <w:tc>
          <w:tcPr>
            <w:tcW w:w="1251" w:type="dxa"/>
            <w:tcBorders>
              <w:top w:val="nil"/>
              <w:left w:val="nil"/>
              <w:bottom w:val="single" w:sz="4" w:space="0" w:color="auto"/>
              <w:right w:val="single" w:sz="4" w:space="0" w:color="auto"/>
            </w:tcBorders>
            <w:noWrap/>
            <w:vAlign w:val="bottom"/>
          </w:tcPr>
          <w:p w14:paraId="06CD11F8" w14:textId="77777777" w:rsidR="0059120D" w:rsidRPr="00A76E83" w:rsidRDefault="0059120D">
            <w:pPr>
              <w:jc w:val="both"/>
              <w:rPr>
                <w:rFonts w:ascii="Verdana" w:hAnsi="Verdana" w:cs="Arial"/>
                <w:sz w:val="16"/>
                <w:szCs w:val="16"/>
              </w:rPr>
            </w:pPr>
            <w:r w:rsidRPr="00A76E83">
              <w:rPr>
                <w:rFonts w:ascii="Verdana" w:hAnsi="Verdana" w:cs="Arial"/>
                <w:sz w:val="16"/>
                <w:szCs w:val="16"/>
              </w:rPr>
              <w:t>48</w:t>
            </w:r>
          </w:p>
        </w:tc>
      </w:tr>
      <w:tr w:rsidR="0059120D" w:rsidRPr="00F47BB7" w14:paraId="20C75DF3" w14:textId="77777777">
        <w:trPr>
          <w:trHeight w:val="255"/>
        </w:trPr>
        <w:tc>
          <w:tcPr>
            <w:tcW w:w="1660" w:type="dxa"/>
            <w:tcBorders>
              <w:top w:val="single" w:sz="4" w:space="0" w:color="auto"/>
              <w:left w:val="single" w:sz="4" w:space="0" w:color="auto"/>
              <w:bottom w:val="nil"/>
              <w:right w:val="single" w:sz="4" w:space="0" w:color="auto"/>
            </w:tcBorders>
            <w:noWrap/>
            <w:vAlign w:val="bottom"/>
          </w:tcPr>
          <w:p w14:paraId="4EDF71BC" w14:textId="77777777" w:rsidR="0059120D" w:rsidRPr="00A76E83" w:rsidRDefault="0059120D">
            <w:pPr>
              <w:jc w:val="both"/>
              <w:rPr>
                <w:rFonts w:ascii="Verdana" w:hAnsi="Verdana" w:cs="Arial"/>
                <w:sz w:val="16"/>
                <w:szCs w:val="16"/>
              </w:rPr>
            </w:pPr>
            <w:r w:rsidRPr="00A76E83">
              <w:rPr>
                <w:rFonts w:ascii="Verdana" w:hAnsi="Verdana" w:cs="Arial"/>
                <w:sz w:val="16"/>
                <w:szCs w:val="16"/>
              </w:rPr>
              <w:t>5%</w:t>
            </w:r>
          </w:p>
        </w:tc>
        <w:tc>
          <w:tcPr>
            <w:tcW w:w="1049" w:type="dxa"/>
            <w:tcBorders>
              <w:top w:val="nil"/>
              <w:left w:val="nil"/>
              <w:bottom w:val="nil"/>
              <w:right w:val="single" w:sz="4" w:space="0" w:color="auto"/>
            </w:tcBorders>
            <w:noWrap/>
            <w:vAlign w:val="bottom"/>
          </w:tcPr>
          <w:p w14:paraId="6D1B26FD" w14:textId="77777777" w:rsidR="0059120D" w:rsidRPr="00A76E83" w:rsidRDefault="0059120D">
            <w:pPr>
              <w:jc w:val="both"/>
              <w:rPr>
                <w:rFonts w:ascii="Verdana" w:hAnsi="Verdana" w:cs="Arial"/>
                <w:sz w:val="16"/>
                <w:szCs w:val="16"/>
              </w:rPr>
            </w:pPr>
            <w:r w:rsidRPr="00A76E83">
              <w:rPr>
                <w:rFonts w:ascii="Verdana" w:hAnsi="Verdana" w:cs="Arial"/>
                <w:sz w:val="16"/>
                <w:szCs w:val="16"/>
              </w:rPr>
              <w:t>5,00%</w:t>
            </w:r>
          </w:p>
        </w:tc>
        <w:tc>
          <w:tcPr>
            <w:tcW w:w="1250" w:type="dxa"/>
            <w:tcBorders>
              <w:top w:val="nil"/>
              <w:left w:val="nil"/>
              <w:bottom w:val="nil"/>
              <w:right w:val="single" w:sz="4" w:space="0" w:color="auto"/>
            </w:tcBorders>
            <w:noWrap/>
            <w:vAlign w:val="bottom"/>
          </w:tcPr>
          <w:p w14:paraId="45B3B51E" w14:textId="77777777" w:rsidR="0059120D" w:rsidRPr="00A76E83" w:rsidRDefault="0059120D">
            <w:pPr>
              <w:jc w:val="both"/>
              <w:rPr>
                <w:rFonts w:ascii="Verdana" w:hAnsi="Verdana" w:cs="Arial"/>
                <w:sz w:val="16"/>
                <w:szCs w:val="16"/>
              </w:rPr>
            </w:pPr>
            <w:r w:rsidRPr="00A76E83">
              <w:rPr>
                <w:rFonts w:ascii="Verdana" w:hAnsi="Verdana" w:cs="Arial"/>
                <w:sz w:val="16"/>
                <w:szCs w:val="16"/>
              </w:rPr>
              <w:t>15,00%</w:t>
            </w:r>
          </w:p>
        </w:tc>
        <w:tc>
          <w:tcPr>
            <w:tcW w:w="1250" w:type="dxa"/>
            <w:tcBorders>
              <w:top w:val="nil"/>
              <w:left w:val="nil"/>
              <w:bottom w:val="nil"/>
              <w:right w:val="single" w:sz="4" w:space="0" w:color="auto"/>
            </w:tcBorders>
            <w:noWrap/>
            <w:vAlign w:val="bottom"/>
          </w:tcPr>
          <w:p w14:paraId="1A380775" w14:textId="77777777" w:rsidR="0059120D" w:rsidRPr="00A76E83" w:rsidRDefault="0059120D">
            <w:pPr>
              <w:jc w:val="both"/>
              <w:rPr>
                <w:rFonts w:ascii="Verdana" w:hAnsi="Verdana" w:cs="Arial"/>
                <w:sz w:val="16"/>
                <w:szCs w:val="16"/>
              </w:rPr>
            </w:pPr>
            <w:r w:rsidRPr="00A76E83">
              <w:rPr>
                <w:rFonts w:ascii="Verdana" w:hAnsi="Verdana" w:cs="Arial"/>
                <w:sz w:val="16"/>
                <w:szCs w:val="16"/>
              </w:rPr>
              <w:t>35,00%</w:t>
            </w:r>
          </w:p>
        </w:tc>
        <w:tc>
          <w:tcPr>
            <w:tcW w:w="1251" w:type="dxa"/>
            <w:tcBorders>
              <w:top w:val="nil"/>
              <w:left w:val="nil"/>
              <w:bottom w:val="nil"/>
              <w:right w:val="single" w:sz="4" w:space="0" w:color="auto"/>
            </w:tcBorders>
            <w:noWrap/>
            <w:vAlign w:val="bottom"/>
          </w:tcPr>
          <w:p w14:paraId="7282D8E2" w14:textId="77777777" w:rsidR="0059120D" w:rsidRPr="00A76E83" w:rsidRDefault="0059120D">
            <w:pPr>
              <w:jc w:val="both"/>
              <w:rPr>
                <w:rFonts w:ascii="Verdana" w:hAnsi="Verdana" w:cs="Arial"/>
                <w:sz w:val="16"/>
                <w:szCs w:val="16"/>
              </w:rPr>
            </w:pPr>
            <w:r w:rsidRPr="00A76E83">
              <w:rPr>
                <w:rFonts w:ascii="Verdana" w:hAnsi="Verdana" w:cs="Arial"/>
                <w:sz w:val="16"/>
                <w:szCs w:val="16"/>
              </w:rPr>
              <w:t>75,00%</w:t>
            </w:r>
          </w:p>
        </w:tc>
      </w:tr>
      <w:tr w:rsidR="0059120D" w:rsidRPr="00F47BB7" w14:paraId="269AA89A" w14:textId="77777777">
        <w:trPr>
          <w:trHeight w:val="255"/>
        </w:trPr>
        <w:tc>
          <w:tcPr>
            <w:tcW w:w="1660" w:type="dxa"/>
            <w:tcBorders>
              <w:top w:val="nil"/>
              <w:left w:val="single" w:sz="4" w:space="0" w:color="auto"/>
              <w:bottom w:val="nil"/>
              <w:right w:val="single" w:sz="4" w:space="0" w:color="auto"/>
            </w:tcBorders>
            <w:noWrap/>
            <w:vAlign w:val="bottom"/>
          </w:tcPr>
          <w:p w14:paraId="1B6BF2E5" w14:textId="77777777" w:rsidR="0059120D" w:rsidRPr="00A76E83" w:rsidRDefault="0059120D">
            <w:pPr>
              <w:jc w:val="both"/>
              <w:rPr>
                <w:rFonts w:ascii="Verdana" w:hAnsi="Verdana" w:cs="Arial"/>
                <w:sz w:val="16"/>
                <w:szCs w:val="16"/>
              </w:rPr>
            </w:pPr>
            <w:r w:rsidRPr="00A76E83">
              <w:rPr>
                <w:rFonts w:ascii="Verdana" w:hAnsi="Verdana" w:cs="Arial"/>
                <w:sz w:val="16"/>
                <w:szCs w:val="16"/>
              </w:rPr>
              <w:t>10%</w:t>
            </w:r>
          </w:p>
        </w:tc>
        <w:tc>
          <w:tcPr>
            <w:tcW w:w="1049" w:type="dxa"/>
            <w:tcBorders>
              <w:top w:val="nil"/>
              <w:left w:val="nil"/>
              <w:bottom w:val="nil"/>
              <w:right w:val="single" w:sz="4" w:space="0" w:color="auto"/>
            </w:tcBorders>
            <w:noWrap/>
            <w:vAlign w:val="bottom"/>
          </w:tcPr>
          <w:p w14:paraId="1751F6D6" w14:textId="77777777" w:rsidR="0059120D" w:rsidRPr="00A76E83" w:rsidRDefault="0059120D">
            <w:pPr>
              <w:jc w:val="both"/>
              <w:rPr>
                <w:rFonts w:ascii="Verdana" w:hAnsi="Verdana" w:cs="Arial"/>
                <w:sz w:val="16"/>
                <w:szCs w:val="16"/>
              </w:rPr>
            </w:pPr>
            <w:r w:rsidRPr="00A76E83">
              <w:rPr>
                <w:rFonts w:ascii="Verdana" w:hAnsi="Verdana" w:cs="Arial"/>
                <w:sz w:val="16"/>
                <w:szCs w:val="16"/>
              </w:rPr>
              <w:t>6,82%</w:t>
            </w:r>
          </w:p>
        </w:tc>
        <w:tc>
          <w:tcPr>
            <w:tcW w:w="1250" w:type="dxa"/>
            <w:tcBorders>
              <w:top w:val="nil"/>
              <w:left w:val="nil"/>
              <w:bottom w:val="nil"/>
              <w:right w:val="single" w:sz="4" w:space="0" w:color="auto"/>
            </w:tcBorders>
            <w:noWrap/>
            <w:vAlign w:val="bottom"/>
          </w:tcPr>
          <w:p w14:paraId="3E7739B2" w14:textId="77777777" w:rsidR="0059120D" w:rsidRPr="00A76E83" w:rsidRDefault="0059120D">
            <w:pPr>
              <w:jc w:val="both"/>
              <w:rPr>
                <w:rFonts w:ascii="Verdana" w:hAnsi="Verdana" w:cs="Arial"/>
                <w:sz w:val="16"/>
                <w:szCs w:val="16"/>
              </w:rPr>
            </w:pPr>
            <w:r w:rsidRPr="00A76E83">
              <w:rPr>
                <w:rFonts w:ascii="Verdana" w:hAnsi="Verdana" w:cs="Arial"/>
                <w:sz w:val="16"/>
                <w:szCs w:val="16"/>
              </w:rPr>
              <w:t>18,28%</w:t>
            </w:r>
          </w:p>
        </w:tc>
        <w:tc>
          <w:tcPr>
            <w:tcW w:w="1250" w:type="dxa"/>
            <w:tcBorders>
              <w:top w:val="nil"/>
              <w:left w:val="nil"/>
              <w:bottom w:val="nil"/>
              <w:right w:val="single" w:sz="4" w:space="0" w:color="auto"/>
            </w:tcBorders>
            <w:noWrap/>
            <w:vAlign w:val="bottom"/>
          </w:tcPr>
          <w:p w14:paraId="7EED4637" w14:textId="77777777" w:rsidR="0059120D" w:rsidRPr="00A76E83" w:rsidRDefault="0059120D">
            <w:pPr>
              <w:jc w:val="both"/>
              <w:rPr>
                <w:rFonts w:ascii="Verdana" w:hAnsi="Verdana" w:cs="Arial"/>
                <w:sz w:val="16"/>
                <w:szCs w:val="16"/>
              </w:rPr>
            </w:pPr>
            <w:r w:rsidRPr="00A76E83">
              <w:rPr>
                <w:rFonts w:ascii="Verdana" w:hAnsi="Verdana" w:cs="Arial"/>
                <w:sz w:val="16"/>
                <w:szCs w:val="16"/>
              </w:rPr>
              <w:t>37,57%</w:t>
            </w:r>
          </w:p>
        </w:tc>
        <w:tc>
          <w:tcPr>
            <w:tcW w:w="1251" w:type="dxa"/>
            <w:tcBorders>
              <w:top w:val="nil"/>
              <w:left w:val="nil"/>
              <w:bottom w:val="nil"/>
              <w:right w:val="single" w:sz="4" w:space="0" w:color="auto"/>
            </w:tcBorders>
            <w:noWrap/>
            <w:vAlign w:val="bottom"/>
          </w:tcPr>
          <w:p w14:paraId="6FABA30A" w14:textId="77777777" w:rsidR="0059120D" w:rsidRPr="00A76E83" w:rsidRDefault="0059120D">
            <w:pPr>
              <w:jc w:val="both"/>
              <w:rPr>
                <w:rFonts w:ascii="Verdana" w:hAnsi="Verdana" w:cs="Arial"/>
                <w:sz w:val="16"/>
                <w:szCs w:val="16"/>
              </w:rPr>
            </w:pPr>
            <w:r w:rsidRPr="00A76E83">
              <w:rPr>
                <w:rFonts w:ascii="Verdana" w:hAnsi="Verdana" w:cs="Arial"/>
                <w:sz w:val="16"/>
                <w:szCs w:val="16"/>
              </w:rPr>
              <w:t>70,00%</w:t>
            </w:r>
          </w:p>
        </w:tc>
      </w:tr>
      <w:tr w:rsidR="0059120D" w:rsidRPr="00F47BB7" w14:paraId="19AA68B5" w14:textId="77777777">
        <w:trPr>
          <w:trHeight w:val="255"/>
        </w:trPr>
        <w:tc>
          <w:tcPr>
            <w:tcW w:w="1660" w:type="dxa"/>
            <w:tcBorders>
              <w:top w:val="nil"/>
              <w:left w:val="single" w:sz="4" w:space="0" w:color="auto"/>
              <w:bottom w:val="nil"/>
              <w:right w:val="single" w:sz="4" w:space="0" w:color="auto"/>
            </w:tcBorders>
            <w:noWrap/>
            <w:vAlign w:val="bottom"/>
          </w:tcPr>
          <w:p w14:paraId="1642DA10" w14:textId="77777777" w:rsidR="0059120D" w:rsidRPr="00A76E83" w:rsidRDefault="0059120D">
            <w:pPr>
              <w:jc w:val="both"/>
              <w:rPr>
                <w:rFonts w:ascii="Verdana" w:hAnsi="Verdana" w:cs="Arial"/>
                <w:sz w:val="16"/>
                <w:szCs w:val="16"/>
              </w:rPr>
            </w:pPr>
            <w:r w:rsidRPr="00A76E83">
              <w:rPr>
                <w:rFonts w:ascii="Verdana" w:hAnsi="Verdana" w:cs="Arial"/>
                <w:sz w:val="16"/>
                <w:szCs w:val="16"/>
              </w:rPr>
              <w:t>15%</w:t>
            </w:r>
          </w:p>
        </w:tc>
        <w:tc>
          <w:tcPr>
            <w:tcW w:w="1049" w:type="dxa"/>
            <w:tcBorders>
              <w:top w:val="nil"/>
              <w:left w:val="nil"/>
              <w:bottom w:val="nil"/>
              <w:right w:val="single" w:sz="4" w:space="0" w:color="auto"/>
            </w:tcBorders>
            <w:noWrap/>
            <w:vAlign w:val="bottom"/>
          </w:tcPr>
          <w:p w14:paraId="1DB4618B" w14:textId="77777777" w:rsidR="0059120D" w:rsidRPr="00A76E83" w:rsidRDefault="0059120D">
            <w:pPr>
              <w:jc w:val="both"/>
              <w:rPr>
                <w:rFonts w:ascii="Verdana" w:hAnsi="Verdana" w:cs="Arial"/>
                <w:sz w:val="16"/>
                <w:szCs w:val="16"/>
              </w:rPr>
            </w:pPr>
            <w:r w:rsidRPr="00A76E83">
              <w:rPr>
                <w:rFonts w:ascii="Verdana" w:hAnsi="Verdana" w:cs="Arial"/>
                <w:sz w:val="16"/>
                <w:szCs w:val="16"/>
              </w:rPr>
              <w:t>7,80%</w:t>
            </w:r>
          </w:p>
        </w:tc>
        <w:tc>
          <w:tcPr>
            <w:tcW w:w="1250" w:type="dxa"/>
            <w:tcBorders>
              <w:top w:val="nil"/>
              <w:left w:val="nil"/>
              <w:bottom w:val="nil"/>
              <w:right w:val="single" w:sz="4" w:space="0" w:color="auto"/>
            </w:tcBorders>
            <w:noWrap/>
            <w:vAlign w:val="bottom"/>
          </w:tcPr>
          <w:p w14:paraId="2C0EE125" w14:textId="77777777" w:rsidR="0059120D" w:rsidRPr="00A76E83" w:rsidRDefault="0059120D">
            <w:pPr>
              <w:jc w:val="both"/>
              <w:rPr>
                <w:rFonts w:ascii="Verdana" w:hAnsi="Verdana" w:cs="Arial"/>
                <w:sz w:val="16"/>
                <w:szCs w:val="16"/>
              </w:rPr>
            </w:pPr>
            <w:r w:rsidRPr="00A76E83">
              <w:rPr>
                <w:rFonts w:ascii="Verdana" w:hAnsi="Verdana" w:cs="Arial"/>
                <w:sz w:val="16"/>
                <w:szCs w:val="16"/>
              </w:rPr>
              <w:t>19,64%</w:t>
            </w:r>
          </w:p>
        </w:tc>
        <w:tc>
          <w:tcPr>
            <w:tcW w:w="1250" w:type="dxa"/>
            <w:tcBorders>
              <w:top w:val="nil"/>
              <w:left w:val="nil"/>
              <w:bottom w:val="nil"/>
              <w:right w:val="single" w:sz="4" w:space="0" w:color="auto"/>
            </w:tcBorders>
            <w:noWrap/>
            <w:vAlign w:val="bottom"/>
          </w:tcPr>
          <w:p w14:paraId="51E02580" w14:textId="77777777" w:rsidR="0059120D" w:rsidRPr="00A76E83" w:rsidRDefault="0059120D">
            <w:pPr>
              <w:jc w:val="both"/>
              <w:rPr>
                <w:rFonts w:ascii="Verdana" w:hAnsi="Verdana" w:cs="Arial"/>
                <w:sz w:val="16"/>
                <w:szCs w:val="16"/>
              </w:rPr>
            </w:pPr>
            <w:r w:rsidRPr="00A76E83">
              <w:rPr>
                <w:rFonts w:ascii="Verdana" w:hAnsi="Verdana" w:cs="Arial"/>
                <w:sz w:val="16"/>
                <w:szCs w:val="16"/>
              </w:rPr>
              <w:t>37,64%</w:t>
            </w:r>
          </w:p>
        </w:tc>
        <w:tc>
          <w:tcPr>
            <w:tcW w:w="1251" w:type="dxa"/>
            <w:tcBorders>
              <w:top w:val="nil"/>
              <w:left w:val="nil"/>
              <w:bottom w:val="nil"/>
              <w:right w:val="single" w:sz="4" w:space="0" w:color="auto"/>
            </w:tcBorders>
            <w:noWrap/>
            <w:vAlign w:val="bottom"/>
          </w:tcPr>
          <w:p w14:paraId="1F0B9045" w14:textId="77777777" w:rsidR="0059120D" w:rsidRPr="00A76E83" w:rsidRDefault="0059120D">
            <w:pPr>
              <w:jc w:val="both"/>
              <w:rPr>
                <w:rFonts w:ascii="Verdana" w:hAnsi="Verdana" w:cs="Arial"/>
                <w:sz w:val="16"/>
                <w:szCs w:val="16"/>
              </w:rPr>
            </w:pPr>
            <w:r w:rsidRPr="00A76E83">
              <w:rPr>
                <w:rFonts w:ascii="Verdana" w:hAnsi="Verdana" w:cs="Arial"/>
                <w:sz w:val="16"/>
                <w:szCs w:val="16"/>
              </w:rPr>
              <w:t>65,00%</w:t>
            </w:r>
          </w:p>
        </w:tc>
      </w:tr>
      <w:tr w:rsidR="0059120D" w:rsidRPr="00F47BB7" w14:paraId="31D62268" w14:textId="77777777">
        <w:trPr>
          <w:trHeight w:val="255"/>
        </w:trPr>
        <w:tc>
          <w:tcPr>
            <w:tcW w:w="1660" w:type="dxa"/>
            <w:tcBorders>
              <w:top w:val="nil"/>
              <w:left w:val="single" w:sz="4" w:space="0" w:color="auto"/>
              <w:bottom w:val="nil"/>
              <w:right w:val="single" w:sz="4" w:space="0" w:color="auto"/>
            </w:tcBorders>
            <w:noWrap/>
            <w:vAlign w:val="bottom"/>
          </w:tcPr>
          <w:p w14:paraId="397F9FBA" w14:textId="77777777" w:rsidR="0059120D" w:rsidRPr="00A76E83" w:rsidRDefault="0059120D">
            <w:pPr>
              <w:jc w:val="both"/>
              <w:rPr>
                <w:rFonts w:ascii="Verdana" w:hAnsi="Verdana" w:cs="Arial"/>
                <w:sz w:val="16"/>
                <w:szCs w:val="16"/>
              </w:rPr>
            </w:pPr>
            <w:r w:rsidRPr="00A76E83">
              <w:rPr>
                <w:rFonts w:ascii="Verdana" w:hAnsi="Verdana" w:cs="Arial"/>
                <w:sz w:val="16"/>
                <w:szCs w:val="16"/>
              </w:rPr>
              <w:t>20%</w:t>
            </w:r>
          </w:p>
        </w:tc>
        <w:tc>
          <w:tcPr>
            <w:tcW w:w="1049" w:type="dxa"/>
            <w:tcBorders>
              <w:top w:val="nil"/>
              <w:left w:val="nil"/>
              <w:bottom w:val="nil"/>
              <w:right w:val="single" w:sz="4" w:space="0" w:color="auto"/>
            </w:tcBorders>
            <w:noWrap/>
            <w:vAlign w:val="bottom"/>
          </w:tcPr>
          <w:p w14:paraId="701F7058" w14:textId="77777777" w:rsidR="0059120D" w:rsidRPr="00A76E83" w:rsidRDefault="0059120D">
            <w:pPr>
              <w:jc w:val="both"/>
              <w:rPr>
                <w:rFonts w:ascii="Verdana" w:hAnsi="Verdana" w:cs="Arial"/>
                <w:sz w:val="16"/>
                <w:szCs w:val="16"/>
              </w:rPr>
            </w:pPr>
            <w:r w:rsidRPr="00A76E83">
              <w:rPr>
                <w:rFonts w:ascii="Verdana" w:hAnsi="Verdana" w:cs="Arial"/>
                <w:sz w:val="16"/>
                <w:szCs w:val="16"/>
              </w:rPr>
              <w:t>8,28%</w:t>
            </w:r>
          </w:p>
        </w:tc>
        <w:tc>
          <w:tcPr>
            <w:tcW w:w="1250" w:type="dxa"/>
            <w:tcBorders>
              <w:top w:val="nil"/>
              <w:left w:val="nil"/>
              <w:bottom w:val="nil"/>
              <w:right w:val="single" w:sz="4" w:space="0" w:color="auto"/>
            </w:tcBorders>
            <w:noWrap/>
            <w:vAlign w:val="bottom"/>
          </w:tcPr>
          <w:p w14:paraId="0125CEA4" w14:textId="77777777" w:rsidR="0059120D" w:rsidRPr="00A76E83" w:rsidRDefault="0059120D">
            <w:pPr>
              <w:jc w:val="both"/>
              <w:rPr>
                <w:rFonts w:ascii="Verdana" w:hAnsi="Verdana" w:cs="Arial"/>
                <w:sz w:val="16"/>
                <w:szCs w:val="16"/>
              </w:rPr>
            </w:pPr>
            <w:r w:rsidRPr="00A76E83">
              <w:rPr>
                <w:rFonts w:ascii="Verdana" w:hAnsi="Verdana" w:cs="Arial"/>
                <w:sz w:val="16"/>
                <w:szCs w:val="16"/>
              </w:rPr>
              <w:t>20,00%</w:t>
            </w:r>
          </w:p>
        </w:tc>
        <w:tc>
          <w:tcPr>
            <w:tcW w:w="1250" w:type="dxa"/>
            <w:tcBorders>
              <w:top w:val="nil"/>
              <w:left w:val="nil"/>
              <w:bottom w:val="nil"/>
              <w:right w:val="single" w:sz="4" w:space="0" w:color="auto"/>
            </w:tcBorders>
            <w:noWrap/>
            <w:vAlign w:val="bottom"/>
          </w:tcPr>
          <w:p w14:paraId="227527FF" w14:textId="77777777" w:rsidR="0059120D" w:rsidRPr="00A76E83" w:rsidRDefault="0059120D">
            <w:pPr>
              <w:jc w:val="both"/>
              <w:rPr>
                <w:rFonts w:ascii="Verdana" w:hAnsi="Verdana" w:cs="Arial"/>
                <w:sz w:val="16"/>
                <w:szCs w:val="16"/>
              </w:rPr>
            </w:pPr>
            <w:r w:rsidRPr="00A76E83">
              <w:rPr>
                <w:rFonts w:ascii="Verdana" w:hAnsi="Verdana" w:cs="Arial"/>
                <w:sz w:val="16"/>
                <w:szCs w:val="16"/>
              </w:rPr>
              <w:t>36,57%</w:t>
            </w:r>
          </w:p>
        </w:tc>
        <w:tc>
          <w:tcPr>
            <w:tcW w:w="1251" w:type="dxa"/>
            <w:tcBorders>
              <w:top w:val="nil"/>
              <w:left w:val="nil"/>
              <w:bottom w:val="nil"/>
              <w:right w:val="single" w:sz="4" w:space="0" w:color="auto"/>
            </w:tcBorders>
            <w:noWrap/>
            <w:vAlign w:val="bottom"/>
          </w:tcPr>
          <w:p w14:paraId="038C20E2" w14:textId="77777777" w:rsidR="0059120D" w:rsidRPr="00A76E83" w:rsidRDefault="0059120D">
            <w:pPr>
              <w:jc w:val="both"/>
              <w:rPr>
                <w:rFonts w:ascii="Verdana" w:hAnsi="Verdana" w:cs="Arial"/>
                <w:sz w:val="16"/>
                <w:szCs w:val="16"/>
              </w:rPr>
            </w:pPr>
            <w:r w:rsidRPr="00A76E83">
              <w:rPr>
                <w:rFonts w:ascii="Verdana" w:hAnsi="Verdana" w:cs="Arial"/>
                <w:sz w:val="16"/>
                <w:szCs w:val="16"/>
              </w:rPr>
              <w:t>60,00%</w:t>
            </w:r>
          </w:p>
        </w:tc>
      </w:tr>
      <w:tr w:rsidR="0059120D" w:rsidRPr="00F47BB7" w14:paraId="2CF298BA" w14:textId="77777777">
        <w:trPr>
          <w:trHeight w:val="255"/>
        </w:trPr>
        <w:tc>
          <w:tcPr>
            <w:tcW w:w="1660" w:type="dxa"/>
            <w:tcBorders>
              <w:top w:val="nil"/>
              <w:left w:val="single" w:sz="4" w:space="0" w:color="auto"/>
              <w:bottom w:val="nil"/>
              <w:right w:val="single" w:sz="4" w:space="0" w:color="auto"/>
            </w:tcBorders>
            <w:noWrap/>
            <w:vAlign w:val="bottom"/>
          </w:tcPr>
          <w:p w14:paraId="7EF2B69F" w14:textId="77777777" w:rsidR="0059120D" w:rsidRPr="00A76E83" w:rsidRDefault="0059120D">
            <w:pPr>
              <w:jc w:val="both"/>
              <w:rPr>
                <w:rFonts w:ascii="Verdana" w:hAnsi="Verdana" w:cs="Arial"/>
                <w:sz w:val="16"/>
                <w:szCs w:val="16"/>
              </w:rPr>
            </w:pPr>
            <w:r w:rsidRPr="00A76E83">
              <w:rPr>
                <w:rFonts w:ascii="Verdana" w:hAnsi="Verdana" w:cs="Arial"/>
                <w:sz w:val="16"/>
                <w:szCs w:val="16"/>
              </w:rPr>
              <w:t>25%</w:t>
            </w:r>
          </w:p>
        </w:tc>
        <w:tc>
          <w:tcPr>
            <w:tcW w:w="1049" w:type="dxa"/>
            <w:tcBorders>
              <w:top w:val="nil"/>
              <w:left w:val="nil"/>
              <w:bottom w:val="nil"/>
              <w:right w:val="single" w:sz="4" w:space="0" w:color="auto"/>
            </w:tcBorders>
            <w:noWrap/>
            <w:vAlign w:val="bottom"/>
          </w:tcPr>
          <w:p w14:paraId="4054FB38" w14:textId="77777777" w:rsidR="0059120D" w:rsidRPr="00A76E83" w:rsidRDefault="0059120D">
            <w:pPr>
              <w:jc w:val="both"/>
              <w:rPr>
                <w:rFonts w:ascii="Verdana" w:hAnsi="Verdana" w:cs="Arial"/>
                <w:sz w:val="16"/>
                <w:szCs w:val="16"/>
              </w:rPr>
            </w:pPr>
            <w:r w:rsidRPr="00A76E83">
              <w:rPr>
                <w:rFonts w:ascii="Verdana" w:hAnsi="Verdana" w:cs="Arial"/>
                <w:sz w:val="16"/>
                <w:szCs w:val="16"/>
              </w:rPr>
              <w:t>8,44%</w:t>
            </w:r>
          </w:p>
        </w:tc>
        <w:tc>
          <w:tcPr>
            <w:tcW w:w="1250" w:type="dxa"/>
            <w:tcBorders>
              <w:top w:val="nil"/>
              <w:left w:val="nil"/>
              <w:bottom w:val="nil"/>
              <w:right w:val="single" w:sz="4" w:space="0" w:color="auto"/>
            </w:tcBorders>
            <w:noWrap/>
            <w:vAlign w:val="bottom"/>
          </w:tcPr>
          <w:p w14:paraId="1736628C" w14:textId="77777777" w:rsidR="0059120D" w:rsidRPr="00A76E83" w:rsidRDefault="0059120D">
            <w:pPr>
              <w:jc w:val="both"/>
              <w:rPr>
                <w:rFonts w:ascii="Verdana" w:hAnsi="Verdana" w:cs="Arial"/>
                <w:sz w:val="16"/>
                <w:szCs w:val="16"/>
              </w:rPr>
            </w:pPr>
            <w:r w:rsidRPr="00A76E83">
              <w:rPr>
                <w:rFonts w:ascii="Verdana" w:hAnsi="Verdana" w:cs="Arial"/>
                <w:sz w:val="16"/>
                <w:szCs w:val="16"/>
              </w:rPr>
              <w:t>19,72%</w:t>
            </w:r>
          </w:p>
        </w:tc>
        <w:tc>
          <w:tcPr>
            <w:tcW w:w="1250" w:type="dxa"/>
            <w:tcBorders>
              <w:top w:val="nil"/>
              <w:left w:val="nil"/>
              <w:bottom w:val="nil"/>
              <w:right w:val="single" w:sz="4" w:space="0" w:color="auto"/>
            </w:tcBorders>
            <w:noWrap/>
            <w:vAlign w:val="bottom"/>
          </w:tcPr>
          <w:p w14:paraId="1C6F481D" w14:textId="77777777" w:rsidR="0059120D" w:rsidRPr="00A76E83" w:rsidRDefault="0059120D">
            <w:pPr>
              <w:jc w:val="both"/>
              <w:rPr>
                <w:rFonts w:ascii="Verdana" w:hAnsi="Verdana" w:cs="Arial"/>
                <w:sz w:val="16"/>
                <w:szCs w:val="16"/>
              </w:rPr>
            </w:pPr>
            <w:r w:rsidRPr="00A76E83">
              <w:rPr>
                <w:rFonts w:ascii="Verdana" w:hAnsi="Verdana" w:cs="Arial"/>
                <w:sz w:val="16"/>
                <w:szCs w:val="16"/>
              </w:rPr>
              <w:t>34,81%</w:t>
            </w:r>
          </w:p>
        </w:tc>
        <w:tc>
          <w:tcPr>
            <w:tcW w:w="1251" w:type="dxa"/>
            <w:tcBorders>
              <w:top w:val="nil"/>
              <w:left w:val="nil"/>
              <w:bottom w:val="nil"/>
              <w:right w:val="single" w:sz="4" w:space="0" w:color="auto"/>
            </w:tcBorders>
            <w:noWrap/>
            <w:vAlign w:val="bottom"/>
          </w:tcPr>
          <w:p w14:paraId="742E3D4D" w14:textId="77777777" w:rsidR="0059120D" w:rsidRPr="00A76E83" w:rsidRDefault="0059120D">
            <w:pPr>
              <w:jc w:val="both"/>
              <w:rPr>
                <w:rFonts w:ascii="Verdana" w:hAnsi="Verdana" w:cs="Arial"/>
                <w:sz w:val="16"/>
                <w:szCs w:val="16"/>
              </w:rPr>
            </w:pPr>
            <w:r w:rsidRPr="00A76E83">
              <w:rPr>
                <w:rFonts w:ascii="Verdana" w:hAnsi="Verdana" w:cs="Arial"/>
                <w:sz w:val="16"/>
                <w:szCs w:val="16"/>
              </w:rPr>
              <w:t>55,00%</w:t>
            </w:r>
          </w:p>
        </w:tc>
      </w:tr>
      <w:tr w:rsidR="0059120D" w:rsidRPr="00F47BB7" w14:paraId="134A0714" w14:textId="77777777">
        <w:trPr>
          <w:trHeight w:val="255"/>
        </w:trPr>
        <w:tc>
          <w:tcPr>
            <w:tcW w:w="1660" w:type="dxa"/>
            <w:tcBorders>
              <w:top w:val="nil"/>
              <w:left w:val="single" w:sz="4" w:space="0" w:color="auto"/>
              <w:bottom w:val="nil"/>
              <w:right w:val="single" w:sz="4" w:space="0" w:color="auto"/>
            </w:tcBorders>
            <w:noWrap/>
            <w:vAlign w:val="bottom"/>
          </w:tcPr>
          <w:p w14:paraId="71D9E4D2" w14:textId="77777777" w:rsidR="0059120D" w:rsidRPr="00A76E83" w:rsidRDefault="0059120D">
            <w:pPr>
              <w:jc w:val="both"/>
              <w:rPr>
                <w:rFonts w:ascii="Verdana" w:hAnsi="Verdana" w:cs="Arial"/>
                <w:sz w:val="16"/>
                <w:szCs w:val="16"/>
              </w:rPr>
            </w:pPr>
            <w:r w:rsidRPr="00A76E83">
              <w:rPr>
                <w:rFonts w:ascii="Verdana" w:hAnsi="Verdana" w:cs="Arial"/>
                <w:sz w:val="16"/>
                <w:szCs w:val="16"/>
              </w:rPr>
              <w:t>30%</w:t>
            </w:r>
          </w:p>
        </w:tc>
        <w:tc>
          <w:tcPr>
            <w:tcW w:w="1049" w:type="dxa"/>
            <w:tcBorders>
              <w:top w:val="nil"/>
              <w:left w:val="nil"/>
              <w:bottom w:val="nil"/>
              <w:right w:val="single" w:sz="4" w:space="0" w:color="auto"/>
            </w:tcBorders>
            <w:noWrap/>
            <w:vAlign w:val="bottom"/>
          </w:tcPr>
          <w:p w14:paraId="4F2C308B" w14:textId="77777777" w:rsidR="0059120D" w:rsidRPr="00A76E83" w:rsidRDefault="0059120D">
            <w:pPr>
              <w:jc w:val="both"/>
              <w:rPr>
                <w:rFonts w:ascii="Verdana" w:hAnsi="Verdana" w:cs="Arial"/>
                <w:sz w:val="16"/>
                <w:szCs w:val="16"/>
              </w:rPr>
            </w:pPr>
            <w:r w:rsidRPr="00A76E83">
              <w:rPr>
                <w:rFonts w:ascii="Verdana" w:hAnsi="Verdana" w:cs="Arial"/>
                <w:sz w:val="16"/>
                <w:szCs w:val="16"/>
              </w:rPr>
              <w:t>8,34%</w:t>
            </w:r>
          </w:p>
        </w:tc>
        <w:tc>
          <w:tcPr>
            <w:tcW w:w="1250" w:type="dxa"/>
            <w:tcBorders>
              <w:top w:val="nil"/>
              <w:left w:val="nil"/>
              <w:bottom w:val="nil"/>
              <w:right w:val="single" w:sz="4" w:space="0" w:color="auto"/>
            </w:tcBorders>
            <w:noWrap/>
            <w:vAlign w:val="bottom"/>
          </w:tcPr>
          <w:p w14:paraId="6D4F1FD5" w14:textId="77777777" w:rsidR="0059120D" w:rsidRPr="00A76E83" w:rsidRDefault="0059120D">
            <w:pPr>
              <w:jc w:val="both"/>
              <w:rPr>
                <w:rFonts w:ascii="Verdana" w:hAnsi="Verdana" w:cs="Arial"/>
                <w:sz w:val="16"/>
                <w:szCs w:val="16"/>
              </w:rPr>
            </w:pPr>
            <w:r w:rsidRPr="00A76E83">
              <w:rPr>
                <w:rFonts w:ascii="Verdana" w:hAnsi="Verdana" w:cs="Arial"/>
                <w:sz w:val="16"/>
                <w:szCs w:val="16"/>
              </w:rPr>
              <w:t>18,99%</w:t>
            </w:r>
          </w:p>
        </w:tc>
        <w:tc>
          <w:tcPr>
            <w:tcW w:w="1250" w:type="dxa"/>
            <w:tcBorders>
              <w:top w:val="nil"/>
              <w:left w:val="nil"/>
              <w:bottom w:val="nil"/>
              <w:right w:val="single" w:sz="4" w:space="0" w:color="auto"/>
            </w:tcBorders>
            <w:noWrap/>
            <w:vAlign w:val="bottom"/>
          </w:tcPr>
          <w:p w14:paraId="0F851855" w14:textId="77777777" w:rsidR="0059120D" w:rsidRPr="00A76E83" w:rsidRDefault="0059120D">
            <w:pPr>
              <w:jc w:val="both"/>
              <w:rPr>
                <w:rFonts w:ascii="Verdana" w:hAnsi="Verdana" w:cs="Arial"/>
                <w:sz w:val="16"/>
                <w:szCs w:val="16"/>
              </w:rPr>
            </w:pPr>
            <w:r w:rsidRPr="00A76E83">
              <w:rPr>
                <w:rFonts w:ascii="Verdana" w:hAnsi="Verdana" w:cs="Arial"/>
                <w:sz w:val="16"/>
                <w:szCs w:val="16"/>
              </w:rPr>
              <w:t>32,60%</w:t>
            </w:r>
          </w:p>
        </w:tc>
        <w:tc>
          <w:tcPr>
            <w:tcW w:w="1251" w:type="dxa"/>
            <w:tcBorders>
              <w:top w:val="nil"/>
              <w:left w:val="nil"/>
              <w:bottom w:val="nil"/>
              <w:right w:val="single" w:sz="4" w:space="0" w:color="auto"/>
            </w:tcBorders>
            <w:noWrap/>
            <w:vAlign w:val="bottom"/>
          </w:tcPr>
          <w:p w14:paraId="0003225D" w14:textId="77777777" w:rsidR="0059120D" w:rsidRPr="00A76E83" w:rsidRDefault="0059120D">
            <w:pPr>
              <w:jc w:val="both"/>
              <w:rPr>
                <w:rFonts w:ascii="Verdana" w:hAnsi="Verdana" w:cs="Arial"/>
                <w:sz w:val="16"/>
                <w:szCs w:val="16"/>
              </w:rPr>
            </w:pPr>
            <w:r w:rsidRPr="00A76E83">
              <w:rPr>
                <w:rFonts w:ascii="Verdana" w:hAnsi="Verdana" w:cs="Arial"/>
                <w:sz w:val="16"/>
                <w:szCs w:val="16"/>
              </w:rPr>
              <w:t>50,00%</w:t>
            </w:r>
          </w:p>
        </w:tc>
      </w:tr>
      <w:tr w:rsidR="0059120D" w:rsidRPr="00F47BB7" w14:paraId="2F088AA8" w14:textId="77777777">
        <w:trPr>
          <w:trHeight w:val="255"/>
        </w:trPr>
        <w:tc>
          <w:tcPr>
            <w:tcW w:w="1660" w:type="dxa"/>
            <w:tcBorders>
              <w:top w:val="nil"/>
              <w:left w:val="single" w:sz="4" w:space="0" w:color="auto"/>
              <w:bottom w:val="nil"/>
              <w:right w:val="single" w:sz="4" w:space="0" w:color="auto"/>
            </w:tcBorders>
            <w:noWrap/>
            <w:vAlign w:val="bottom"/>
          </w:tcPr>
          <w:p w14:paraId="19FE5413" w14:textId="77777777" w:rsidR="0059120D" w:rsidRPr="00A76E83" w:rsidRDefault="0059120D">
            <w:pPr>
              <w:jc w:val="both"/>
              <w:rPr>
                <w:rFonts w:ascii="Verdana" w:hAnsi="Verdana" w:cs="Arial"/>
                <w:sz w:val="16"/>
                <w:szCs w:val="16"/>
              </w:rPr>
            </w:pPr>
            <w:r w:rsidRPr="00A76E83">
              <w:rPr>
                <w:rFonts w:ascii="Verdana" w:hAnsi="Verdana" w:cs="Arial"/>
                <w:sz w:val="16"/>
                <w:szCs w:val="16"/>
              </w:rPr>
              <w:t>35%</w:t>
            </w:r>
          </w:p>
        </w:tc>
        <w:tc>
          <w:tcPr>
            <w:tcW w:w="1049" w:type="dxa"/>
            <w:tcBorders>
              <w:top w:val="nil"/>
              <w:left w:val="nil"/>
              <w:bottom w:val="nil"/>
              <w:right w:val="single" w:sz="4" w:space="0" w:color="auto"/>
            </w:tcBorders>
            <w:noWrap/>
            <w:vAlign w:val="bottom"/>
          </w:tcPr>
          <w:p w14:paraId="4CEC1AFB" w14:textId="77777777" w:rsidR="0059120D" w:rsidRPr="00A76E83" w:rsidRDefault="0059120D">
            <w:pPr>
              <w:jc w:val="both"/>
              <w:rPr>
                <w:rFonts w:ascii="Verdana" w:hAnsi="Verdana" w:cs="Arial"/>
                <w:sz w:val="16"/>
                <w:szCs w:val="16"/>
              </w:rPr>
            </w:pPr>
            <w:r w:rsidRPr="00A76E83">
              <w:rPr>
                <w:rFonts w:ascii="Verdana" w:hAnsi="Verdana" w:cs="Arial"/>
                <w:sz w:val="16"/>
                <w:szCs w:val="16"/>
              </w:rPr>
              <w:t>8,04%</w:t>
            </w:r>
          </w:p>
        </w:tc>
        <w:tc>
          <w:tcPr>
            <w:tcW w:w="1250" w:type="dxa"/>
            <w:tcBorders>
              <w:top w:val="nil"/>
              <w:left w:val="nil"/>
              <w:bottom w:val="nil"/>
              <w:right w:val="single" w:sz="4" w:space="0" w:color="auto"/>
            </w:tcBorders>
            <w:noWrap/>
            <w:vAlign w:val="bottom"/>
          </w:tcPr>
          <w:p w14:paraId="18D3E89D" w14:textId="77777777" w:rsidR="0059120D" w:rsidRPr="00A76E83" w:rsidRDefault="0059120D">
            <w:pPr>
              <w:jc w:val="both"/>
              <w:rPr>
                <w:rFonts w:ascii="Verdana" w:hAnsi="Verdana" w:cs="Arial"/>
                <w:sz w:val="16"/>
                <w:szCs w:val="16"/>
              </w:rPr>
            </w:pPr>
            <w:r w:rsidRPr="00A76E83">
              <w:rPr>
                <w:rFonts w:ascii="Verdana" w:hAnsi="Verdana" w:cs="Arial"/>
                <w:sz w:val="16"/>
                <w:szCs w:val="16"/>
              </w:rPr>
              <w:t>17,92%</w:t>
            </w:r>
          </w:p>
        </w:tc>
        <w:tc>
          <w:tcPr>
            <w:tcW w:w="1250" w:type="dxa"/>
            <w:tcBorders>
              <w:top w:val="nil"/>
              <w:left w:val="nil"/>
              <w:bottom w:val="nil"/>
              <w:right w:val="single" w:sz="4" w:space="0" w:color="auto"/>
            </w:tcBorders>
            <w:noWrap/>
            <w:vAlign w:val="bottom"/>
          </w:tcPr>
          <w:p w14:paraId="148F8D87" w14:textId="77777777" w:rsidR="0059120D" w:rsidRPr="00A76E83" w:rsidRDefault="0059120D">
            <w:pPr>
              <w:jc w:val="both"/>
              <w:rPr>
                <w:rFonts w:ascii="Verdana" w:hAnsi="Verdana" w:cs="Arial"/>
                <w:sz w:val="16"/>
                <w:szCs w:val="16"/>
              </w:rPr>
            </w:pPr>
            <w:r w:rsidRPr="00A76E83">
              <w:rPr>
                <w:rFonts w:ascii="Verdana" w:hAnsi="Verdana" w:cs="Arial"/>
                <w:sz w:val="16"/>
                <w:szCs w:val="16"/>
              </w:rPr>
              <w:t>30,06%</w:t>
            </w:r>
          </w:p>
        </w:tc>
        <w:tc>
          <w:tcPr>
            <w:tcW w:w="1251" w:type="dxa"/>
            <w:tcBorders>
              <w:top w:val="nil"/>
              <w:left w:val="nil"/>
              <w:bottom w:val="nil"/>
              <w:right w:val="single" w:sz="4" w:space="0" w:color="auto"/>
            </w:tcBorders>
            <w:noWrap/>
            <w:vAlign w:val="bottom"/>
          </w:tcPr>
          <w:p w14:paraId="62353A40" w14:textId="77777777" w:rsidR="0059120D" w:rsidRPr="00A76E83" w:rsidRDefault="0059120D">
            <w:pPr>
              <w:jc w:val="both"/>
              <w:rPr>
                <w:rFonts w:ascii="Verdana" w:hAnsi="Verdana" w:cs="Arial"/>
                <w:sz w:val="16"/>
                <w:szCs w:val="16"/>
              </w:rPr>
            </w:pPr>
            <w:r w:rsidRPr="00A76E83">
              <w:rPr>
                <w:rFonts w:ascii="Verdana" w:hAnsi="Verdana" w:cs="Arial"/>
                <w:sz w:val="16"/>
                <w:szCs w:val="16"/>
              </w:rPr>
              <w:t>45,00%</w:t>
            </w:r>
          </w:p>
        </w:tc>
      </w:tr>
      <w:tr w:rsidR="0059120D" w:rsidRPr="00F47BB7" w14:paraId="32E5F580" w14:textId="77777777">
        <w:trPr>
          <w:trHeight w:val="255"/>
        </w:trPr>
        <w:tc>
          <w:tcPr>
            <w:tcW w:w="1660" w:type="dxa"/>
            <w:tcBorders>
              <w:top w:val="nil"/>
              <w:left w:val="single" w:sz="4" w:space="0" w:color="auto"/>
              <w:bottom w:val="nil"/>
              <w:right w:val="single" w:sz="4" w:space="0" w:color="auto"/>
            </w:tcBorders>
            <w:noWrap/>
            <w:vAlign w:val="bottom"/>
          </w:tcPr>
          <w:p w14:paraId="75BC2DF6" w14:textId="77777777" w:rsidR="0059120D" w:rsidRPr="00A76E83" w:rsidRDefault="0059120D">
            <w:pPr>
              <w:jc w:val="both"/>
              <w:rPr>
                <w:rFonts w:ascii="Verdana" w:hAnsi="Verdana" w:cs="Arial"/>
                <w:sz w:val="16"/>
                <w:szCs w:val="16"/>
              </w:rPr>
            </w:pPr>
            <w:r w:rsidRPr="00A76E83">
              <w:rPr>
                <w:rFonts w:ascii="Verdana" w:hAnsi="Verdana" w:cs="Arial"/>
                <w:sz w:val="16"/>
                <w:szCs w:val="16"/>
              </w:rPr>
              <w:t>40%</w:t>
            </w:r>
          </w:p>
        </w:tc>
        <w:tc>
          <w:tcPr>
            <w:tcW w:w="1049" w:type="dxa"/>
            <w:tcBorders>
              <w:top w:val="nil"/>
              <w:left w:val="nil"/>
              <w:bottom w:val="nil"/>
              <w:right w:val="single" w:sz="4" w:space="0" w:color="auto"/>
            </w:tcBorders>
            <w:noWrap/>
            <w:vAlign w:val="bottom"/>
          </w:tcPr>
          <w:p w14:paraId="4F3C3BE4" w14:textId="77777777" w:rsidR="0059120D" w:rsidRPr="00A76E83" w:rsidRDefault="0059120D">
            <w:pPr>
              <w:jc w:val="both"/>
              <w:rPr>
                <w:rFonts w:ascii="Verdana" w:hAnsi="Verdana" w:cs="Arial"/>
                <w:sz w:val="16"/>
                <w:szCs w:val="16"/>
              </w:rPr>
            </w:pPr>
            <w:r w:rsidRPr="00A76E83">
              <w:rPr>
                <w:rFonts w:ascii="Verdana" w:hAnsi="Verdana" w:cs="Arial"/>
                <w:sz w:val="16"/>
                <w:szCs w:val="16"/>
              </w:rPr>
              <w:t>7,57%</w:t>
            </w:r>
          </w:p>
        </w:tc>
        <w:tc>
          <w:tcPr>
            <w:tcW w:w="1250" w:type="dxa"/>
            <w:tcBorders>
              <w:top w:val="nil"/>
              <w:left w:val="nil"/>
              <w:bottom w:val="nil"/>
              <w:right w:val="single" w:sz="4" w:space="0" w:color="auto"/>
            </w:tcBorders>
            <w:noWrap/>
            <w:vAlign w:val="bottom"/>
          </w:tcPr>
          <w:p w14:paraId="54D267AD" w14:textId="77777777" w:rsidR="0059120D" w:rsidRPr="00A76E83" w:rsidRDefault="0059120D">
            <w:pPr>
              <w:jc w:val="both"/>
              <w:rPr>
                <w:rFonts w:ascii="Verdana" w:hAnsi="Verdana" w:cs="Arial"/>
                <w:sz w:val="16"/>
                <w:szCs w:val="16"/>
              </w:rPr>
            </w:pPr>
            <w:r w:rsidRPr="00A76E83">
              <w:rPr>
                <w:rFonts w:ascii="Verdana" w:hAnsi="Verdana" w:cs="Arial"/>
                <w:sz w:val="16"/>
                <w:szCs w:val="16"/>
              </w:rPr>
              <w:t>16,57%</w:t>
            </w:r>
          </w:p>
        </w:tc>
        <w:tc>
          <w:tcPr>
            <w:tcW w:w="1250" w:type="dxa"/>
            <w:tcBorders>
              <w:top w:val="nil"/>
              <w:left w:val="nil"/>
              <w:bottom w:val="nil"/>
              <w:right w:val="single" w:sz="4" w:space="0" w:color="auto"/>
            </w:tcBorders>
            <w:noWrap/>
            <w:vAlign w:val="bottom"/>
          </w:tcPr>
          <w:p w14:paraId="26E04D7D" w14:textId="77777777" w:rsidR="0059120D" w:rsidRPr="00A76E83" w:rsidRDefault="0059120D">
            <w:pPr>
              <w:jc w:val="both"/>
              <w:rPr>
                <w:rFonts w:ascii="Verdana" w:hAnsi="Verdana" w:cs="Arial"/>
                <w:sz w:val="16"/>
                <w:szCs w:val="16"/>
              </w:rPr>
            </w:pPr>
            <w:r w:rsidRPr="00A76E83">
              <w:rPr>
                <w:rFonts w:ascii="Verdana" w:hAnsi="Verdana" w:cs="Arial"/>
                <w:sz w:val="16"/>
                <w:szCs w:val="16"/>
              </w:rPr>
              <w:t>27,27%</w:t>
            </w:r>
          </w:p>
        </w:tc>
        <w:tc>
          <w:tcPr>
            <w:tcW w:w="1251" w:type="dxa"/>
            <w:tcBorders>
              <w:top w:val="nil"/>
              <w:left w:val="nil"/>
              <w:bottom w:val="nil"/>
              <w:right w:val="single" w:sz="4" w:space="0" w:color="auto"/>
            </w:tcBorders>
            <w:noWrap/>
            <w:vAlign w:val="bottom"/>
          </w:tcPr>
          <w:p w14:paraId="06096EA2" w14:textId="77777777" w:rsidR="0059120D" w:rsidRPr="00A76E83" w:rsidRDefault="0059120D">
            <w:pPr>
              <w:jc w:val="both"/>
              <w:rPr>
                <w:rFonts w:ascii="Verdana" w:hAnsi="Verdana" w:cs="Arial"/>
                <w:sz w:val="16"/>
                <w:szCs w:val="16"/>
              </w:rPr>
            </w:pPr>
            <w:r w:rsidRPr="00A76E83">
              <w:rPr>
                <w:rFonts w:ascii="Verdana" w:hAnsi="Verdana" w:cs="Arial"/>
                <w:sz w:val="16"/>
                <w:szCs w:val="16"/>
              </w:rPr>
              <w:t>40,00%</w:t>
            </w:r>
          </w:p>
        </w:tc>
      </w:tr>
      <w:tr w:rsidR="0059120D" w:rsidRPr="00F47BB7" w14:paraId="6FC78B1B" w14:textId="77777777">
        <w:trPr>
          <w:trHeight w:val="255"/>
        </w:trPr>
        <w:tc>
          <w:tcPr>
            <w:tcW w:w="1660" w:type="dxa"/>
            <w:tcBorders>
              <w:top w:val="nil"/>
              <w:left w:val="single" w:sz="4" w:space="0" w:color="auto"/>
              <w:bottom w:val="nil"/>
              <w:right w:val="single" w:sz="4" w:space="0" w:color="auto"/>
            </w:tcBorders>
            <w:noWrap/>
            <w:vAlign w:val="bottom"/>
          </w:tcPr>
          <w:p w14:paraId="3B07EF44" w14:textId="77777777" w:rsidR="0059120D" w:rsidRPr="00A76E83" w:rsidRDefault="0059120D">
            <w:pPr>
              <w:jc w:val="both"/>
              <w:rPr>
                <w:rFonts w:ascii="Verdana" w:hAnsi="Verdana" w:cs="Arial"/>
                <w:sz w:val="16"/>
                <w:szCs w:val="16"/>
              </w:rPr>
            </w:pPr>
            <w:r w:rsidRPr="00A76E83">
              <w:rPr>
                <w:rFonts w:ascii="Verdana" w:hAnsi="Verdana" w:cs="Arial"/>
                <w:sz w:val="16"/>
                <w:szCs w:val="16"/>
              </w:rPr>
              <w:t>45%</w:t>
            </w:r>
          </w:p>
        </w:tc>
        <w:tc>
          <w:tcPr>
            <w:tcW w:w="1049" w:type="dxa"/>
            <w:tcBorders>
              <w:top w:val="nil"/>
              <w:left w:val="nil"/>
              <w:bottom w:val="nil"/>
              <w:right w:val="single" w:sz="4" w:space="0" w:color="auto"/>
            </w:tcBorders>
            <w:noWrap/>
            <w:vAlign w:val="bottom"/>
          </w:tcPr>
          <w:p w14:paraId="3A72CD49" w14:textId="77777777" w:rsidR="0059120D" w:rsidRPr="00A76E83" w:rsidRDefault="0059120D">
            <w:pPr>
              <w:jc w:val="both"/>
              <w:rPr>
                <w:rFonts w:ascii="Verdana" w:hAnsi="Verdana" w:cs="Arial"/>
                <w:sz w:val="16"/>
                <w:szCs w:val="16"/>
              </w:rPr>
            </w:pPr>
            <w:r w:rsidRPr="00A76E83">
              <w:rPr>
                <w:rFonts w:ascii="Verdana" w:hAnsi="Verdana" w:cs="Arial"/>
                <w:sz w:val="16"/>
                <w:szCs w:val="16"/>
              </w:rPr>
              <w:t>6,96%</w:t>
            </w:r>
          </w:p>
        </w:tc>
        <w:tc>
          <w:tcPr>
            <w:tcW w:w="1250" w:type="dxa"/>
            <w:tcBorders>
              <w:top w:val="nil"/>
              <w:left w:val="nil"/>
              <w:bottom w:val="nil"/>
              <w:right w:val="single" w:sz="4" w:space="0" w:color="auto"/>
            </w:tcBorders>
            <w:noWrap/>
            <w:vAlign w:val="bottom"/>
          </w:tcPr>
          <w:p w14:paraId="613A2B3B" w14:textId="77777777" w:rsidR="0059120D" w:rsidRPr="00A76E83" w:rsidRDefault="0059120D">
            <w:pPr>
              <w:jc w:val="both"/>
              <w:rPr>
                <w:rFonts w:ascii="Verdana" w:hAnsi="Verdana" w:cs="Arial"/>
                <w:sz w:val="16"/>
                <w:szCs w:val="16"/>
              </w:rPr>
            </w:pPr>
            <w:r w:rsidRPr="00A76E83">
              <w:rPr>
                <w:rFonts w:ascii="Verdana" w:hAnsi="Verdana" w:cs="Arial"/>
                <w:sz w:val="16"/>
                <w:szCs w:val="16"/>
              </w:rPr>
              <w:t>15,00%</w:t>
            </w:r>
          </w:p>
        </w:tc>
        <w:tc>
          <w:tcPr>
            <w:tcW w:w="1250" w:type="dxa"/>
            <w:tcBorders>
              <w:top w:val="nil"/>
              <w:left w:val="nil"/>
              <w:bottom w:val="nil"/>
              <w:right w:val="single" w:sz="4" w:space="0" w:color="auto"/>
            </w:tcBorders>
            <w:noWrap/>
            <w:vAlign w:val="bottom"/>
          </w:tcPr>
          <w:p w14:paraId="0F995BBD" w14:textId="77777777" w:rsidR="0059120D" w:rsidRPr="00A76E83" w:rsidRDefault="0059120D">
            <w:pPr>
              <w:jc w:val="both"/>
              <w:rPr>
                <w:rFonts w:ascii="Verdana" w:hAnsi="Verdana" w:cs="Arial"/>
                <w:sz w:val="16"/>
                <w:szCs w:val="16"/>
              </w:rPr>
            </w:pPr>
            <w:r w:rsidRPr="00A76E83">
              <w:rPr>
                <w:rFonts w:ascii="Verdana" w:hAnsi="Verdana" w:cs="Arial"/>
                <w:sz w:val="16"/>
                <w:szCs w:val="16"/>
              </w:rPr>
              <w:t>24,28%</w:t>
            </w:r>
          </w:p>
        </w:tc>
        <w:tc>
          <w:tcPr>
            <w:tcW w:w="1251" w:type="dxa"/>
            <w:tcBorders>
              <w:top w:val="nil"/>
              <w:left w:val="nil"/>
              <w:bottom w:val="nil"/>
              <w:right w:val="single" w:sz="4" w:space="0" w:color="auto"/>
            </w:tcBorders>
            <w:noWrap/>
            <w:vAlign w:val="bottom"/>
          </w:tcPr>
          <w:p w14:paraId="09612B51" w14:textId="77777777" w:rsidR="0059120D" w:rsidRPr="00A76E83" w:rsidRDefault="0059120D">
            <w:pPr>
              <w:jc w:val="both"/>
              <w:rPr>
                <w:rFonts w:ascii="Verdana" w:hAnsi="Verdana" w:cs="Arial"/>
                <w:sz w:val="16"/>
                <w:szCs w:val="16"/>
              </w:rPr>
            </w:pPr>
            <w:r w:rsidRPr="00A76E83">
              <w:rPr>
                <w:rFonts w:ascii="Verdana" w:hAnsi="Verdana" w:cs="Arial"/>
                <w:sz w:val="16"/>
                <w:szCs w:val="16"/>
              </w:rPr>
              <w:t>35,00%</w:t>
            </w:r>
          </w:p>
        </w:tc>
      </w:tr>
      <w:tr w:rsidR="0059120D" w:rsidRPr="00F47BB7" w14:paraId="11B05EC2" w14:textId="77777777">
        <w:trPr>
          <w:trHeight w:val="255"/>
        </w:trPr>
        <w:tc>
          <w:tcPr>
            <w:tcW w:w="1660" w:type="dxa"/>
            <w:tcBorders>
              <w:top w:val="nil"/>
              <w:left w:val="single" w:sz="4" w:space="0" w:color="auto"/>
              <w:bottom w:val="nil"/>
              <w:right w:val="single" w:sz="4" w:space="0" w:color="auto"/>
            </w:tcBorders>
            <w:noWrap/>
            <w:vAlign w:val="bottom"/>
          </w:tcPr>
          <w:p w14:paraId="55306BFD" w14:textId="77777777" w:rsidR="0059120D" w:rsidRPr="00A76E83" w:rsidRDefault="0059120D">
            <w:pPr>
              <w:jc w:val="both"/>
              <w:rPr>
                <w:rFonts w:ascii="Verdana" w:hAnsi="Verdana" w:cs="Arial"/>
                <w:sz w:val="16"/>
                <w:szCs w:val="16"/>
              </w:rPr>
            </w:pPr>
            <w:r w:rsidRPr="00A76E83">
              <w:rPr>
                <w:rFonts w:ascii="Verdana" w:hAnsi="Verdana" w:cs="Arial"/>
                <w:sz w:val="16"/>
                <w:szCs w:val="16"/>
              </w:rPr>
              <w:t>50%</w:t>
            </w:r>
          </w:p>
        </w:tc>
        <w:tc>
          <w:tcPr>
            <w:tcW w:w="1049" w:type="dxa"/>
            <w:tcBorders>
              <w:top w:val="nil"/>
              <w:left w:val="nil"/>
              <w:bottom w:val="nil"/>
              <w:right w:val="single" w:sz="4" w:space="0" w:color="auto"/>
            </w:tcBorders>
            <w:noWrap/>
            <w:vAlign w:val="bottom"/>
          </w:tcPr>
          <w:p w14:paraId="3DABB961" w14:textId="77777777" w:rsidR="0059120D" w:rsidRPr="00A76E83" w:rsidRDefault="0059120D">
            <w:pPr>
              <w:jc w:val="both"/>
              <w:rPr>
                <w:rFonts w:ascii="Verdana" w:hAnsi="Verdana" w:cs="Arial"/>
                <w:sz w:val="16"/>
                <w:szCs w:val="16"/>
              </w:rPr>
            </w:pPr>
            <w:r w:rsidRPr="00A76E83">
              <w:rPr>
                <w:rFonts w:ascii="Verdana" w:hAnsi="Verdana" w:cs="Arial"/>
                <w:sz w:val="16"/>
                <w:szCs w:val="16"/>
              </w:rPr>
              <w:t>6,23%</w:t>
            </w:r>
          </w:p>
        </w:tc>
        <w:tc>
          <w:tcPr>
            <w:tcW w:w="1250" w:type="dxa"/>
            <w:tcBorders>
              <w:top w:val="nil"/>
              <w:left w:val="nil"/>
              <w:bottom w:val="nil"/>
              <w:right w:val="single" w:sz="4" w:space="0" w:color="auto"/>
            </w:tcBorders>
            <w:noWrap/>
            <w:vAlign w:val="bottom"/>
          </w:tcPr>
          <w:p w14:paraId="7FF38A5D" w14:textId="77777777" w:rsidR="0059120D" w:rsidRPr="00A76E83" w:rsidRDefault="0059120D">
            <w:pPr>
              <w:jc w:val="both"/>
              <w:rPr>
                <w:rFonts w:ascii="Verdana" w:hAnsi="Verdana" w:cs="Arial"/>
                <w:sz w:val="16"/>
                <w:szCs w:val="16"/>
              </w:rPr>
            </w:pPr>
            <w:r w:rsidRPr="00A76E83">
              <w:rPr>
                <w:rFonts w:ascii="Verdana" w:hAnsi="Verdana" w:cs="Arial"/>
                <w:sz w:val="16"/>
                <w:szCs w:val="16"/>
              </w:rPr>
              <w:t>13,25%</w:t>
            </w:r>
          </w:p>
        </w:tc>
        <w:tc>
          <w:tcPr>
            <w:tcW w:w="1250" w:type="dxa"/>
            <w:tcBorders>
              <w:top w:val="nil"/>
              <w:left w:val="nil"/>
              <w:bottom w:val="nil"/>
              <w:right w:val="single" w:sz="4" w:space="0" w:color="auto"/>
            </w:tcBorders>
            <w:noWrap/>
            <w:vAlign w:val="bottom"/>
          </w:tcPr>
          <w:p w14:paraId="3D10009B" w14:textId="77777777" w:rsidR="0059120D" w:rsidRPr="00A76E83" w:rsidRDefault="0059120D">
            <w:pPr>
              <w:jc w:val="both"/>
              <w:rPr>
                <w:rFonts w:ascii="Verdana" w:hAnsi="Verdana" w:cs="Arial"/>
                <w:sz w:val="16"/>
                <w:szCs w:val="16"/>
              </w:rPr>
            </w:pPr>
            <w:r w:rsidRPr="00A76E83">
              <w:rPr>
                <w:rFonts w:ascii="Verdana" w:hAnsi="Verdana" w:cs="Arial"/>
                <w:sz w:val="16"/>
                <w:szCs w:val="16"/>
              </w:rPr>
              <w:t>21,13%</w:t>
            </w:r>
          </w:p>
        </w:tc>
        <w:tc>
          <w:tcPr>
            <w:tcW w:w="1251" w:type="dxa"/>
            <w:tcBorders>
              <w:top w:val="nil"/>
              <w:left w:val="nil"/>
              <w:bottom w:val="nil"/>
              <w:right w:val="single" w:sz="4" w:space="0" w:color="auto"/>
            </w:tcBorders>
            <w:noWrap/>
            <w:vAlign w:val="bottom"/>
          </w:tcPr>
          <w:p w14:paraId="29F406AA" w14:textId="77777777" w:rsidR="0059120D" w:rsidRPr="00A76E83" w:rsidRDefault="0059120D">
            <w:pPr>
              <w:jc w:val="both"/>
              <w:rPr>
                <w:rFonts w:ascii="Verdana" w:hAnsi="Verdana" w:cs="Arial"/>
                <w:sz w:val="16"/>
                <w:szCs w:val="16"/>
              </w:rPr>
            </w:pPr>
            <w:r w:rsidRPr="00A76E83">
              <w:rPr>
                <w:rFonts w:ascii="Verdana" w:hAnsi="Verdana" w:cs="Arial"/>
                <w:sz w:val="16"/>
                <w:szCs w:val="16"/>
              </w:rPr>
              <w:t>30,00%</w:t>
            </w:r>
          </w:p>
        </w:tc>
      </w:tr>
      <w:tr w:rsidR="0059120D" w:rsidRPr="00F47BB7" w14:paraId="7F27F85C" w14:textId="77777777">
        <w:trPr>
          <w:trHeight w:val="255"/>
        </w:trPr>
        <w:tc>
          <w:tcPr>
            <w:tcW w:w="1660" w:type="dxa"/>
            <w:tcBorders>
              <w:top w:val="nil"/>
              <w:left w:val="single" w:sz="4" w:space="0" w:color="auto"/>
              <w:bottom w:val="nil"/>
              <w:right w:val="single" w:sz="4" w:space="0" w:color="auto"/>
            </w:tcBorders>
            <w:noWrap/>
            <w:vAlign w:val="bottom"/>
          </w:tcPr>
          <w:p w14:paraId="362FF864" w14:textId="77777777" w:rsidR="0059120D" w:rsidRPr="00A76E83" w:rsidRDefault="0059120D">
            <w:pPr>
              <w:jc w:val="both"/>
              <w:rPr>
                <w:rFonts w:ascii="Verdana" w:hAnsi="Verdana" w:cs="Arial"/>
                <w:sz w:val="16"/>
                <w:szCs w:val="16"/>
              </w:rPr>
            </w:pPr>
            <w:r w:rsidRPr="00A76E83">
              <w:rPr>
                <w:rFonts w:ascii="Verdana" w:hAnsi="Verdana" w:cs="Arial"/>
                <w:sz w:val="16"/>
                <w:szCs w:val="16"/>
              </w:rPr>
              <w:t>55%</w:t>
            </w:r>
          </w:p>
        </w:tc>
        <w:tc>
          <w:tcPr>
            <w:tcW w:w="1049" w:type="dxa"/>
            <w:tcBorders>
              <w:top w:val="nil"/>
              <w:left w:val="nil"/>
              <w:bottom w:val="nil"/>
              <w:right w:val="single" w:sz="4" w:space="0" w:color="auto"/>
            </w:tcBorders>
            <w:noWrap/>
            <w:vAlign w:val="bottom"/>
          </w:tcPr>
          <w:p w14:paraId="6958EBD8" w14:textId="77777777" w:rsidR="0059120D" w:rsidRPr="00A76E83" w:rsidRDefault="0059120D">
            <w:pPr>
              <w:jc w:val="both"/>
              <w:rPr>
                <w:rFonts w:ascii="Verdana" w:hAnsi="Verdana" w:cs="Arial"/>
                <w:sz w:val="16"/>
                <w:szCs w:val="16"/>
              </w:rPr>
            </w:pPr>
            <w:r w:rsidRPr="00A76E83">
              <w:rPr>
                <w:rFonts w:ascii="Verdana" w:hAnsi="Verdana" w:cs="Arial"/>
                <w:sz w:val="16"/>
                <w:szCs w:val="16"/>
              </w:rPr>
              <w:t>5,40%</w:t>
            </w:r>
          </w:p>
        </w:tc>
        <w:tc>
          <w:tcPr>
            <w:tcW w:w="1250" w:type="dxa"/>
            <w:tcBorders>
              <w:top w:val="nil"/>
              <w:left w:val="nil"/>
              <w:bottom w:val="nil"/>
              <w:right w:val="single" w:sz="4" w:space="0" w:color="auto"/>
            </w:tcBorders>
            <w:noWrap/>
            <w:vAlign w:val="bottom"/>
          </w:tcPr>
          <w:p w14:paraId="135C9D4E" w14:textId="77777777" w:rsidR="0059120D" w:rsidRPr="00A76E83" w:rsidRDefault="0059120D">
            <w:pPr>
              <w:jc w:val="both"/>
              <w:rPr>
                <w:rFonts w:ascii="Verdana" w:hAnsi="Verdana" w:cs="Arial"/>
                <w:sz w:val="16"/>
                <w:szCs w:val="16"/>
              </w:rPr>
            </w:pPr>
            <w:r w:rsidRPr="00A76E83">
              <w:rPr>
                <w:rFonts w:ascii="Verdana" w:hAnsi="Verdana" w:cs="Arial"/>
                <w:sz w:val="16"/>
                <w:szCs w:val="16"/>
              </w:rPr>
              <w:t>11,33%</w:t>
            </w:r>
          </w:p>
        </w:tc>
        <w:tc>
          <w:tcPr>
            <w:tcW w:w="1250" w:type="dxa"/>
            <w:tcBorders>
              <w:top w:val="nil"/>
              <w:left w:val="nil"/>
              <w:bottom w:val="nil"/>
              <w:right w:val="single" w:sz="4" w:space="0" w:color="auto"/>
            </w:tcBorders>
            <w:noWrap/>
            <w:vAlign w:val="bottom"/>
          </w:tcPr>
          <w:p w14:paraId="630B7906" w14:textId="77777777" w:rsidR="0059120D" w:rsidRPr="00A76E83" w:rsidRDefault="0059120D">
            <w:pPr>
              <w:jc w:val="both"/>
              <w:rPr>
                <w:rFonts w:ascii="Verdana" w:hAnsi="Verdana" w:cs="Arial"/>
                <w:sz w:val="16"/>
                <w:szCs w:val="16"/>
              </w:rPr>
            </w:pPr>
            <w:r w:rsidRPr="00A76E83">
              <w:rPr>
                <w:rFonts w:ascii="Verdana" w:hAnsi="Verdana" w:cs="Arial"/>
                <w:sz w:val="16"/>
                <w:szCs w:val="16"/>
              </w:rPr>
              <w:t>17,85%</w:t>
            </w:r>
          </w:p>
        </w:tc>
        <w:tc>
          <w:tcPr>
            <w:tcW w:w="1251" w:type="dxa"/>
            <w:tcBorders>
              <w:top w:val="nil"/>
              <w:left w:val="nil"/>
              <w:bottom w:val="nil"/>
              <w:right w:val="single" w:sz="4" w:space="0" w:color="auto"/>
            </w:tcBorders>
            <w:noWrap/>
            <w:vAlign w:val="bottom"/>
          </w:tcPr>
          <w:p w14:paraId="4A2EC427" w14:textId="77777777" w:rsidR="0059120D" w:rsidRPr="00A76E83" w:rsidRDefault="0059120D">
            <w:pPr>
              <w:jc w:val="both"/>
              <w:rPr>
                <w:rFonts w:ascii="Verdana" w:hAnsi="Verdana" w:cs="Arial"/>
                <w:sz w:val="16"/>
                <w:szCs w:val="16"/>
              </w:rPr>
            </w:pPr>
            <w:r w:rsidRPr="00A76E83">
              <w:rPr>
                <w:rFonts w:ascii="Verdana" w:hAnsi="Verdana" w:cs="Arial"/>
                <w:sz w:val="16"/>
                <w:szCs w:val="16"/>
              </w:rPr>
              <w:t>25,00%</w:t>
            </w:r>
          </w:p>
        </w:tc>
      </w:tr>
      <w:tr w:rsidR="0059120D" w:rsidRPr="00F47BB7" w14:paraId="6A20DBA6" w14:textId="77777777">
        <w:trPr>
          <w:trHeight w:val="255"/>
        </w:trPr>
        <w:tc>
          <w:tcPr>
            <w:tcW w:w="1660" w:type="dxa"/>
            <w:tcBorders>
              <w:top w:val="nil"/>
              <w:left w:val="single" w:sz="4" w:space="0" w:color="auto"/>
              <w:bottom w:val="nil"/>
              <w:right w:val="single" w:sz="4" w:space="0" w:color="auto"/>
            </w:tcBorders>
            <w:noWrap/>
            <w:vAlign w:val="bottom"/>
          </w:tcPr>
          <w:p w14:paraId="3B6FECB7" w14:textId="77777777" w:rsidR="0059120D" w:rsidRPr="00A76E83" w:rsidRDefault="0059120D">
            <w:pPr>
              <w:jc w:val="both"/>
              <w:rPr>
                <w:rFonts w:ascii="Verdana" w:hAnsi="Verdana" w:cs="Arial"/>
                <w:sz w:val="16"/>
                <w:szCs w:val="16"/>
              </w:rPr>
            </w:pPr>
            <w:r w:rsidRPr="00A76E83">
              <w:rPr>
                <w:rFonts w:ascii="Verdana" w:hAnsi="Verdana" w:cs="Arial"/>
                <w:sz w:val="16"/>
                <w:szCs w:val="16"/>
              </w:rPr>
              <w:t>60%</w:t>
            </w:r>
          </w:p>
        </w:tc>
        <w:tc>
          <w:tcPr>
            <w:tcW w:w="1049" w:type="dxa"/>
            <w:tcBorders>
              <w:top w:val="nil"/>
              <w:left w:val="nil"/>
              <w:bottom w:val="nil"/>
              <w:right w:val="single" w:sz="4" w:space="0" w:color="auto"/>
            </w:tcBorders>
            <w:noWrap/>
            <w:vAlign w:val="bottom"/>
          </w:tcPr>
          <w:p w14:paraId="4FD8F5BB" w14:textId="77777777" w:rsidR="0059120D" w:rsidRPr="00A76E83" w:rsidRDefault="0059120D">
            <w:pPr>
              <w:jc w:val="both"/>
              <w:rPr>
                <w:rFonts w:ascii="Verdana" w:hAnsi="Verdana" w:cs="Arial"/>
                <w:sz w:val="16"/>
                <w:szCs w:val="16"/>
              </w:rPr>
            </w:pPr>
            <w:r w:rsidRPr="00A76E83">
              <w:rPr>
                <w:rFonts w:ascii="Verdana" w:hAnsi="Verdana" w:cs="Arial"/>
                <w:sz w:val="16"/>
                <w:szCs w:val="16"/>
              </w:rPr>
              <w:t>4,47%</w:t>
            </w:r>
          </w:p>
        </w:tc>
        <w:tc>
          <w:tcPr>
            <w:tcW w:w="1250" w:type="dxa"/>
            <w:tcBorders>
              <w:top w:val="nil"/>
              <w:left w:val="nil"/>
              <w:bottom w:val="nil"/>
              <w:right w:val="single" w:sz="4" w:space="0" w:color="auto"/>
            </w:tcBorders>
            <w:noWrap/>
            <w:vAlign w:val="bottom"/>
          </w:tcPr>
          <w:p w14:paraId="5157EB30" w14:textId="77777777" w:rsidR="0059120D" w:rsidRPr="00A76E83" w:rsidRDefault="0059120D">
            <w:pPr>
              <w:jc w:val="both"/>
              <w:rPr>
                <w:rFonts w:ascii="Verdana" w:hAnsi="Verdana" w:cs="Arial"/>
                <w:sz w:val="16"/>
                <w:szCs w:val="16"/>
              </w:rPr>
            </w:pPr>
            <w:r w:rsidRPr="00A76E83">
              <w:rPr>
                <w:rFonts w:ascii="Verdana" w:hAnsi="Verdana" w:cs="Arial"/>
                <w:sz w:val="16"/>
                <w:szCs w:val="16"/>
              </w:rPr>
              <w:t>9,28%</w:t>
            </w:r>
          </w:p>
        </w:tc>
        <w:tc>
          <w:tcPr>
            <w:tcW w:w="1250" w:type="dxa"/>
            <w:tcBorders>
              <w:top w:val="nil"/>
              <w:left w:val="nil"/>
              <w:bottom w:val="nil"/>
              <w:right w:val="single" w:sz="4" w:space="0" w:color="auto"/>
            </w:tcBorders>
            <w:noWrap/>
            <w:vAlign w:val="bottom"/>
          </w:tcPr>
          <w:p w14:paraId="34E66BA0" w14:textId="77777777" w:rsidR="0059120D" w:rsidRPr="00A76E83" w:rsidRDefault="0059120D">
            <w:pPr>
              <w:jc w:val="both"/>
              <w:rPr>
                <w:rFonts w:ascii="Verdana" w:hAnsi="Verdana" w:cs="Arial"/>
                <w:sz w:val="16"/>
                <w:szCs w:val="16"/>
              </w:rPr>
            </w:pPr>
            <w:r w:rsidRPr="00A76E83">
              <w:rPr>
                <w:rFonts w:ascii="Verdana" w:hAnsi="Verdana" w:cs="Arial"/>
                <w:sz w:val="16"/>
                <w:szCs w:val="16"/>
              </w:rPr>
              <w:t>14,45%</w:t>
            </w:r>
          </w:p>
        </w:tc>
        <w:tc>
          <w:tcPr>
            <w:tcW w:w="1251" w:type="dxa"/>
            <w:tcBorders>
              <w:top w:val="nil"/>
              <w:left w:val="nil"/>
              <w:bottom w:val="nil"/>
              <w:right w:val="single" w:sz="4" w:space="0" w:color="auto"/>
            </w:tcBorders>
            <w:noWrap/>
            <w:vAlign w:val="bottom"/>
          </w:tcPr>
          <w:p w14:paraId="06BBB524" w14:textId="77777777" w:rsidR="0059120D" w:rsidRPr="00A76E83" w:rsidRDefault="0059120D">
            <w:pPr>
              <w:jc w:val="both"/>
              <w:rPr>
                <w:rFonts w:ascii="Verdana" w:hAnsi="Verdana" w:cs="Arial"/>
                <w:sz w:val="16"/>
                <w:szCs w:val="16"/>
              </w:rPr>
            </w:pPr>
            <w:r w:rsidRPr="00A76E83">
              <w:rPr>
                <w:rFonts w:ascii="Verdana" w:hAnsi="Verdana" w:cs="Arial"/>
                <w:sz w:val="16"/>
                <w:szCs w:val="16"/>
              </w:rPr>
              <w:t>20,00%</w:t>
            </w:r>
          </w:p>
        </w:tc>
      </w:tr>
      <w:tr w:rsidR="0059120D" w:rsidRPr="00F47BB7" w14:paraId="5ED6AB96" w14:textId="77777777">
        <w:trPr>
          <w:trHeight w:val="255"/>
        </w:trPr>
        <w:tc>
          <w:tcPr>
            <w:tcW w:w="1660" w:type="dxa"/>
            <w:tcBorders>
              <w:top w:val="nil"/>
              <w:left w:val="single" w:sz="4" w:space="0" w:color="auto"/>
              <w:bottom w:val="nil"/>
              <w:right w:val="single" w:sz="4" w:space="0" w:color="auto"/>
            </w:tcBorders>
            <w:noWrap/>
            <w:vAlign w:val="bottom"/>
          </w:tcPr>
          <w:p w14:paraId="09976AA4" w14:textId="77777777" w:rsidR="0059120D" w:rsidRPr="00A76E83" w:rsidRDefault="0059120D">
            <w:pPr>
              <w:jc w:val="both"/>
              <w:rPr>
                <w:rFonts w:ascii="Verdana" w:hAnsi="Verdana" w:cs="Arial"/>
                <w:sz w:val="16"/>
                <w:szCs w:val="16"/>
              </w:rPr>
            </w:pPr>
            <w:r w:rsidRPr="00A76E83">
              <w:rPr>
                <w:rFonts w:ascii="Verdana" w:hAnsi="Verdana" w:cs="Arial"/>
                <w:sz w:val="16"/>
                <w:szCs w:val="16"/>
              </w:rPr>
              <w:t>65%</w:t>
            </w:r>
          </w:p>
        </w:tc>
        <w:tc>
          <w:tcPr>
            <w:tcW w:w="1049" w:type="dxa"/>
            <w:tcBorders>
              <w:top w:val="nil"/>
              <w:left w:val="nil"/>
              <w:bottom w:val="nil"/>
              <w:right w:val="single" w:sz="4" w:space="0" w:color="auto"/>
            </w:tcBorders>
            <w:noWrap/>
            <w:vAlign w:val="bottom"/>
          </w:tcPr>
          <w:p w14:paraId="10E2C84F" w14:textId="77777777" w:rsidR="0059120D" w:rsidRPr="00A76E83" w:rsidRDefault="0059120D">
            <w:pPr>
              <w:jc w:val="both"/>
              <w:rPr>
                <w:rFonts w:ascii="Verdana" w:hAnsi="Verdana" w:cs="Arial"/>
                <w:sz w:val="16"/>
                <w:szCs w:val="16"/>
              </w:rPr>
            </w:pPr>
            <w:r w:rsidRPr="00A76E83">
              <w:rPr>
                <w:rFonts w:ascii="Verdana" w:hAnsi="Verdana" w:cs="Arial"/>
                <w:sz w:val="16"/>
                <w:szCs w:val="16"/>
              </w:rPr>
              <w:t>3,46%</w:t>
            </w:r>
          </w:p>
        </w:tc>
        <w:tc>
          <w:tcPr>
            <w:tcW w:w="1250" w:type="dxa"/>
            <w:tcBorders>
              <w:top w:val="nil"/>
              <w:left w:val="nil"/>
              <w:bottom w:val="nil"/>
              <w:right w:val="single" w:sz="4" w:space="0" w:color="auto"/>
            </w:tcBorders>
            <w:noWrap/>
            <w:vAlign w:val="bottom"/>
          </w:tcPr>
          <w:p w14:paraId="672B310D" w14:textId="77777777" w:rsidR="0059120D" w:rsidRPr="00A76E83" w:rsidRDefault="0059120D">
            <w:pPr>
              <w:jc w:val="both"/>
              <w:rPr>
                <w:rFonts w:ascii="Verdana" w:hAnsi="Verdana" w:cs="Arial"/>
                <w:sz w:val="16"/>
                <w:szCs w:val="16"/>
              </w:rPr>
            </w:pPr>
            <w:r w:rsidRPr="00A76E83">
              <w:rPr>
                <w:rFonts w:ascii="Verdana" w:hAnsi="Verdana" w:cs="Arial"/>
                <w:sz w:val="16"/>
                <w:szCs w:val="16"/>
              </w:rPr>
              <w:t>7,11%</w:t>
            </w:r>
          </w:p>
        </w:tc>
        <w:tc>
          <w:tcPr>
            <w:tcW w:w="1250" w:type="dxa"/>
            <w:tcBorders>
              <w:top w:val="nil"/>
              <w:left w:val="nil"/>
              <w:bottom w:val="nil"/>
              <w:right w:val="single" w:sz="4" w:space="0" w:color="auto"/>
            </w:tcBorders>
            <w:noWrap/>
            <w:vAlign w:val="bottom"/>
          </w:tcPr>
          <w:p w14:paraId="7F059BF5" w14:textId="77777777" w:rsidR="0059120D" w:rsidRPr="00A76E83" w:rsidRDefault="0059120D">
            <w:pPr>
              <w:jc w:val="both"/>
              <w:rPr>
                <w:rFonts w:ascii="Verdana" w:hAnsi="Verdana" w:cs="Arial"/>
                <w:sz w:val="16"/>
                <w:szCs w:val="16"/>
              </w:rPr>
            </w:pPr>
            <w:r w:rsidRPr="00A76E83">
              <w:rPr>
                <w:rFonts w:ascii="Verdana" w:hAnsi="Verdana" w:cs="Arial"/>
                <w:sz w:val="16"/>
                <w:szCs w:val="16"/>
              </w:rPr>
              <w:t>10,95%</w:t>
            </w:r>
          </w:p>
        </w:tc>
        <w:tc>
          <w:tcPr>
            <w:tcW w:w="1251" w:type="dxa"/>
            <w:tcBorders>
              <w:top w:val="nil"/>
              <w:left w:val="nil"/>
              <w:bottom w:val="nil"/>
              <w:right w:val="single" w:sz="4" w:space="0" w:color="auto"/>
            </w:tcBorders>
            <w:noWrap/>
            <w:vAlign w:val="bottom"/>
          </w:tcPr>
          <w:p w14:paraId="153CF6D9" w14:textId="77777777" w:rsidR="0059120D" w:rsidRPr="00A76E83" w:rsidRDefault="0059120D">
            <w:pPr>
              <w:jc w:val="both"/>
              <w:rPr>
                <w:rFonts w:ascii="Verdana" w:hAnsi="Verdana" w:cs="Arial"/>
                <w:sz w:val="16"/>
                <w:szCs w:val="16"/>
              </w:rPr>
            </w:pPr>
            <w:r w:rsidRPr="00A76E83">
              <w:rPr>
                <w:rFonts w:ascii="Verdana" w:hAnsi="Verdana" w:cs="Arial"/>
                <w:sz w:val="16"/>
                <w:szCs w:val="16"/>
              </w:rPr>
              <w:t>15,00%</w:t>
            </w:r>
          </w:p>
        </w:tc>
      </w:tr>
      <w:tr w:rsidR="0059120D" w:rsidRPr="00F47BB7" w14:paraId="62446207" w14:textId="77777777">
        <w:trPr>
          <w:trHeight w:val="255"/>
        </w:trPr>
        <w:tc>
          <w:tcPr>
            <w:tcW w:w="1660" w:type="dxa"/>
            <w:tcBorders>
              <w:top w:val="nil"/>
              <w:left w:val="single" w:sz="4" w:space="0" w:color="auto"/>
              <w:bottom w:val="nil"/>
              <w:right w:val="single" w:sz="4" w:space="0" w:color="auto"/>
            </w:tcBorders>
            <w:noWrap/>
            <w:vAlign w:val="bottom"/>
          </w:tcPr>
          <w:p w14:paraId="6C8181A4" w14:textId="77777777" w:rsidR="0059120D" w:rsidRPr="00A76E83" w:rsidRDefault="0059120D">
            <w:pPr>
              <w:jc w:val="both"/>
              <w:rPr>
                <w:rFonts w:ascii="Verdana" w:hAnsi="Verdana" w:cs="Arial"/>
                <w:sz w:val="16"/>
                <w:szCs w:val="16"/>
              </w:rPr>
            </w:pPr>
            <w:r w:rsidRPr="00A76E83">
              <w:rPr>
                <w:rFonts w:ascii="Verdana" w:hAnsi="Verdana" w:cs="Arial"/>
                <w:sz w:val="16"/>
                <w:szCs w:val="16"/>
              </w:rPr>
              <w:t>70%</w:t>
            </w:r>
          </w:p>
        </w:tc>
        <w:tc>
          <w:tcPr>
            <w:tcW w:w="1049" w:type="dxa"/>
            <w:tcBorders>
              <w:top w:val="nil"/>
              <w:left w:val="nil"/>
              <w:bottom w:val="nil"/>
              <w:right w:val="single" w:sz="4" w:space="0" w:color="auto"/>
            </w:tcBorders>
            <w:noWrap/>
            <w:vAlign w:val="bottom"/>
          </w:tcPr>
          <w:p w14:paraId="3F575CDA" w14:textId="77777777" w:rsidR="0059120D" w:rsidRPr="00A76E83" w:rsidRDefault="0059120D">
            <w:pPr>
              <w:jc w:val="both"/>
              <w:rPr>
                <w:rFonts w:ascii="Verdana" w:hAnsi="Verdana" w:cs="Arial"/>
                <w:sz w:val="16"/>
                <w:szCs w:val="16"/>
              </w:rPr>
            </w:pPr>
            <w:r w:rsidRPr="00A76E83">
              <w:rPr>
                <w:rFonts w:ascii="Verdana" w:hAnsi="Verdana" w:cs="Arial"/>
                <w:sz w:val="16"/>
                <w:szCs w:val="16"/>
              </w:rPr>
              <w:t>2,38%</w:t>
            </w:r>
          </w:p>
        </w:tc>
        <w:tc>
          <w:tcPr>
            <w:tcW w:w="1250" w:type="dxa"/>
            <w:tcBorders>
              <w:top w:val="nil"/>
              <w:left w:val="nil"/>
              <w:bottom w:val="nil"/>
              <w:right w:val="single" w:sz="4" w:space="0" w:color="auto"/>
            </w:tcBorders>
            <w:noWrap/>
            <w:vAlign w:val="bottom"/>
          </w:tcPr>
          <w:p w14:paraId="1591DCCE" w14:textId="77777777" w:rsidR="0059120D" w:rsidRPr="00A76E83" w:rsidRDefault="0059120D">
            <w:pPr>
              <w:jc w:val="both"/>
              <w:rPr>
                <w:rFonts w:ascii="Verdana" w:hAnsi="Verdana" w:cs="Arial"/>
                <w:sz w:val="16"/>
                <w:szCs w:val="16"/>
              </w:rPr>
            </w:pPr>
            <w:r w:rsidRPr="00A76E83">
              <w:rPr>
                <w:rFonts w:ascii="Verdana" w:hAnsi="Verdana" w:cs="Arial"/>
                <w:sz w:val="16"/>
                <w:szCs w:val="16"/>
              </w:rPr>
              <w:t>4,83%</w:t>
            </w:r>
          </w:p>
        </w:tc>
        <w:tc>
          <w:tcPr>
            <w:tcW w:w="1250" w:type="dxa"/>
            <w:tcBorders>
              <w:top w:val="nil"/>
              <w:left w:val="nil"/>
              <w:bottom w:val="nil"/>
              <w:right w:val="single" w:sz="4" w:space="0" w:color="auto"/>
            </w:tcBorders>
            <w:noWrap/>
            <w:vAlign w:val="bottom"/>
          </w:tcPr>
          <w:p w14:paraId="17D09ADD" w14:textId="77777777" w:rsidR="0059120D" w:rsidRPr="00A76E83" w:rsidRDefault="0059120D">
            <w:pPr>
              <w:jc w:val="both"/>
              <w:rPr>
                <w:rFonts w:ascii="Verdana" w:hAnsi="Verdana" w:cs="Arial"/>
                <w:sz w:val="16"/>
                <w:szCs w:val="16"/>
              </w:rPr>
            </w:pPr>
            <w:r w:rsidRPr="00A76E83">
              <w:rPr>
                <w:rFonts w:ascii="Verdana" w:hAnsi="Verdana" w:cs="Arial"/>
                <w:sz w:val="16"/>
                <w:szCs w:val="16"/>
              </w:rPr>
              <w:t>7,37%</w:t>
            </w:r>
          </w:p>
        </w:tc>
        <w:tc>
          <w:tcPr>
            <w:tcW w:w="1251" w:type="dxa"/>
            <w:tcBorders>
              <w:top w:val="nil"/>
              <w:left w:val="nil"/>
              <w:bottom w:val="nil"/>
              <w:right w:val="single" w:sz="4" w:space="0" w:color="auto"/>
            </w:tcBorders>
            <w:noWrap/>
            <w:vAlign w:val="bottom"/>
          </w:tcPr>
          <w:p w14:paraId="38D1C376" w14:textId="77777777" w:rsidR="0059120D" w:rsidRPr="00A76E83" w:rsidRDefault="0059120D">
            <w:pPr>
              <w:jc w:val="both"/>
              <w:rPr>
                <w:rFonts w:ascii="Verdana" w:hAnsi="Verdana" w:cs="Arial"/>
                <w:sz w:val="16"/>
                <w:szCs w:val="16"/>
              </w:rPr>
            </w:pPr>
            <w:r w:rsidRPr="00A76E83">
              <w:rPr>
                <w:rFonts w:ascii="Verdana" w:hAnsi="Verdana" w:cs="Arial"/>
                <w:sz w:val="16"/>
                <w:szCs w:val="16"/>
              </w:rPr>
              <w:t>10,00%</w:t>
            </w:r>
          </w:p>
        </w:tc>
      </w:tr>
      <w:tr w:rsidR="0059120D" w:rsidRPr="00F47BB7" w14:paraId="2ED57587" w14:textId="77777777">
        <w:trPr>
          <w:trHeight w:val="255"/>
        </w:trPr>
        <w:tc>
          <w:tcPr>
            <w:tcW w:w="1660" w:type="dxa"/>
            <w:tcBorders>
              <w:top w:val="nil"/>
              <w:left w:val="single" w:sz="4" w:space="0" w:color="auto"/>
              <w:bottom w:val="nil"/>
              <w:right w:val="single" w:sz="4" w:space="0" w:color="auto"/>
            </w:tcBorders>
            <w:noWrap/>
            <w:vAlign w:val="bottom"/>
          </w:tcPr>
          <w:p w14:paraId="7471906A" w14:textId="77777777" w:rsidR="0059120D" w:rsidRPr="00A76E83" w:rsidRDefault="0059120D">
            <w:pPr>
              <w:jc w:val="both"/>
              <w:rPr>
                <w:rFonts w:ascii="Verdana" w:hAnsi="Verdana" w:cs="Arial"/>
                <w:sz w:val="16"/>
                <w:szCs w:val="16"/>
              </w:rPr>
            </w:pPr>
            <w:r w:rsidRPr="00A76E83">
              <w:rPr>
                <w:rFonts w:ascii="Verdana" w:hAnsi="Verdana" w:cs="Arial"/>
                <w:sz w:val="16"/>
                <w:szCs w:val="16"/>
              </w:rPr>
              <w:t>75%</w:t>
            </w:r>
          </w:p>
        </w:tc>
        <w:tc>
          <w:tcPr>
            <w:tcW w:w="1049" w:type="dxa"/>
            <w:tcBorders>
              <w:top w:val="nil"/>
              <w:left w:val="nil"/>
              <w:bottom w:val="nil"/>
              <w:right w:val="single" w:sz="4" w:space="0" w:color="auto"/>
            </w:tcBorders>
            <w:noWrap/>
            <w:vAlign w:val="bottom"/>
          </w:tcPr>
          <w:p w14:paraId="43BE2599" w14:textId="77777777" w:rsidR="0059120D" w:rsidRPr="00A76E83" w:rsidRDefault="0059120D">
            <w:pPr>
              <w:jc w:val="both"/>
              <w:rPr>
                <w:rFonts w:ascii="Verdana" w:hAnsi="Verdana" w:cs="Arial"/>
                <w:sz w:val="16"/>
                <w:szCs w:val="16"/>
              </w:rPr>
            </w:pPr>
            <w:r w:rsidRPr="00A76E83">
              <w:rPr>
                <w:rFonts w:ascii="Verdana" w:hAnsi="Verdana" w:cs="Arial"/>
                <w:sz w:val="16"/>
                <w:szCs w:val="16"/>
              </w:rPr>
              <w:t>1,22%</w:t>
            </w:r>
          </w:p>
        </w:tc>
        <w:tc>
          <w:tcPr>
            <w:tcW w:w="1250" w:type="dxa"/>
            <w:tcBorders>
              <w:top w:val="nil"/>
              <w:left w:val="nil"/>
              <w:bottom w:val="nil"/>
              <w:right w:val="single" w:sz="4" w:space="0" w:color="auto"/>
            </w:tcBorders>
            <w:noWrap/>
            <w:vAlign w:val="bottom"/>
          </w:tcPr>
          <w:p w14:paraId="70B5386B" w14:textId="77777777" w:rsidR="0059120D" w:rsidRPr="00A76E83" w:rsidRDefault="0059120D">
            <w:pPr>
              <w:jc w:val="both"/>
              <w:rPr>
                <w:rFonts w:ascii="Verdana" w:hAnsi="Verdana" w:cs="Arial"/>
                <w:sz w:val="16"/>
                <w:szCs w:val="16"/>
              </w:rPr>
            </w:pPr>
            <w:r w:rsidRPr="00A76E83">
              <w:rPr>
                <w:rFonts w:ascii="Verdana" w:hAnsi="Verdana" w:cs="Arial"/>
                <w:sz w:val="16"/>
                <w:szCs w:val="16"/>
              </w:rPr>
              <w:t>2,46%</w:t>
            </w:r>
          </w:p>
        </w:tc>
        <w:tc>
          <w:tcPr>
            <w:tcW w:w="1250" w:type="dxa"/>
            <w:tcBorders>
              <w:top w:val="nil"/>
              <w:left w:val="nil"/>
              <w:bottom w:val="nil"/>
              <w:right w:val="single" w:sz="4" w:space="0" w:color="auto"/>
            </w:tcBorders>
            <w:noWrap/>
            <w:vAlign w:val="bottom"/>
          </w:tcPr>
          <w:p w14:paraId="734258E7" w14:textId="77777777" w:rsidR="0059120D" w:rsidRPr="00A76E83" w:rsidRDefault="0059120D">
            <w:pPr>
              <w:jc w:val="both"/>
              <w:rPr>
                <w:rFonts w:ascii="Verdana" w:hAnsi="Verdana" w:cs="Arial"/>
                <w:sz w:val="16"/>
                <w:szCs w:val="16"/>
              </w:rPr>
            </w:pPr>
            <w:r w:rsidRPr="00A76E83">
              <w:rPr>
                <w:rFonts w:ascii="Verdana" w:hAnsi="Verdana" w:cs="Arial"/>
                <w:sz w:val="16"/>
                <w:szCs w:val="16"/>
              </w:rPr>
              <w:t>3,72%</w:t>
            </w:r>
          </w:p>
        </w:tc>
        <w:tc>
          <w:tcPr>
            <w:tcW w:w="1251" w:type="dxa"/>
            <w:tcBorders>
              <w:top w:val="nil"/>
              <w:left w:val="nil"/>
              <w:bottom w:val="nil"/>
              <w:right w:val="single" w:sz="4" w:space="0" w:color="auto"/>
            </w:tcBorders>
            <w:noWrap/>
            <w:vAlign w:val="bottom"/>
          </w:tcPr>
          <w:p w14:paraId="535995D2" w14:textId="77777777" w:rsidR="0059120D" w:rsidRPr="00A76E83" w:rsidRDefault="0059120D">
            <w:pPr>
              <w:jc w:val="both"/>
              <w:rPr>
                <w:rFonts w:ascii="Verdana" w:hAnsi="Verdana" w:cs="Arial"/>
                <w:sz w:val="16"/>
                <w:szCs w:val="16"/>
              </w:rPr>
            </w:pPr>
            <w:r w:rsidRPr="00A76E83">
              <w:rPr>
                <w:rFonts w:ascii="Verdana" w:hAnsi="Verdana" w:cs="Arial"/>
                <w:sz w:val="16"/>
                <w:szCs w:val="16"/>
              </w:rPr>
              <w:t>5,00%</w:t>
            </w:r>
          </w:p>
        </w:tc>
      </w:tr>
      <w:tr w:rsidR="0059120D" w:rsidRPr="00F47BB7" w14:paraId="2AF31B6A" w14:textId="77777777">
        <w:trPr>
          <w:trHeight w:val="255"/>
        </w:trPr>
        <w:tc>
          <w:tcPr>
            <w:tcW w:w="1660" w:type="dxa"/>
            <w:tcBorders>
              <w:top w:val="nil"/>
              <w:left w:val="single" w:sz="4" w:space="0" w:color="auto"/>
              <w:bottom w:val="single" w:sz="4" w:space="0" w:color="auto"/>
              <w:right w:val="single" w:sz="4" w:space="0" w:color="auto"/>
            </w:tcBorders>
            <w:noWrap/>
            <w:vAlign w:val="bottom"/>
          </w:tcPr>
          <w:p w14:paraId="4E0A8685" w14:textId="77777777" w:rsidR="0059120D" w:rsidRPr="00A76E83" w:rsidRDefault="0059120D">
            <w:pPr>
              <w:jc w:val="both"/>
              <w:rPr>
                <w:rFonts w:ascii="Verdana" w:hAnsi="Verdana" w:cs="Arial"/>
                <w:sz w:val="16"/>
                <w:szCs w:val="16"/>
              </w:rPr>
            </w:pPr>
            <w:r w:rsidRPr="00A76E83">
              <w:rPr>
                <w:rFonts w:ascii="Verdana" w:hAnsi="Verdana" w:cs="Arial"/>
                <w:sz w:val="16"/>
                <w:szCs w:val="16"/>
              </w:rPr>
              <w:t>80%</w:t>
            </w:r>
          </w:p>
        </w:tc>
        <w:tc>
          <w:tcPr>
            <w:tcW w:w="1049" w:type="dxa"/>
            <w:tcBorders>
              <w:top w:val="nil"/>
              <w:left w:val="nil"/>
              <w:bottom w:val="single" w:sz="4" w:space="0" w:color="auto"/>
              <w:right w:val="single" w:sz="4" w:space="0" w:color="auto"/>
            </w:tcBorders>
            <w:noWrap/>
            <w:vAlign w:val="bottom"/>
          </w:tcPr>
          <w:p w14:paraId="04D78B4A" w14:textId="77777777" w:rsidR="0059120D" w:rsidRPr="00A76E83" w:rsidRDefault="0059120D">
            <w:pPr>
              <w:jc w:val="both"/>
              <w:rPr>
                <w:rFonts w:ascii="Verdana" w:hAnsi="Verdana" w:cs="Arial"/>
                <w:sz w:val="16"/>
                <w:szCs w:val="16"/>
              </w:rPr>
            </w:pPr>
            <w:r w:rsidRPr="00A76E83">
              <w:rPr>
                <w:rFonts w:ascii="Verdana" w:hAnsi="Verdana" w:cs="Arial"/>
                <w:sz w:val="16"/>
                <w:szCs w:val="16"/>
              </w:rPr>
              <w:t>0,00%</w:t>
            </w:r>
          </w:p>
        </w:tc>
        <w:tc>
          <w:tcPr>
            <w:tcW w:w="1250" w:type="dxa"/>
            <w:tcBorders>
              <w:top w:val="nil"/>
              <w:left w:val="nil"/>
              <w:bottom w:val="single" w:sz="4" w:space="0" w:color="auto"/>
              <w:right w:val="single" w:sz="4" w:space="0" w:color="auto"/>
            </w:tcBorders>
            <w:noWrap/>
            <w:vAlign w:val="bottom"/>
          </w:tcPr>
          <w:p w14:paraId="5C0749BB" w14:textId="77777777" w:rsidR="0059120D" w:rsidRPr="00A76E83" w:rsidRDefault="0059120D">
            <w:pPr>
              <w:jc w:val="both"/>
              <w:rPr>
                <w:rFonts w:ascii="Verdana" w:hAnsi="Verdana" w:cs="Arial"/>
                <w:sz w:val="16"/>
                <w:szCs w:val="16"/>
              </w:rPr>
            </w:pPr>
            <w:r w:rsidRPr="00A76E83">
              <w:rPr>
                <w:rFonts w:ascii="Verdana" w:hAnsi="Verdana" w:cs="Arial"/>
                <w:sz w:val="16"/>
                <w:szCs w:val="16"/>
              </w:rPr>
              <w:t>0,00%</w:t>
            </w:r>
          </w:p>
        </w:tc>
        <w:tc>
          <w:tcPr>
            <w:tcW w:w="1250" w:type="dxa"/>
            <w:tcBorders>
              <w:top w:val="nil"/>
              <w:left w:val="nil"/>
              <w:bottom w:val="single" w:sz="4" w:space="0" w:color="auto"/>
              <w:right w:val="single" w:sz="4" w:space="0" w:color="auto"/>
            </w:tcBorders>
            <w:noWrap/>
            <w:vAlign w:val="bottom"/>
          </w:tcPr>
          <w:p w14:paraId="1EA47F73" w14:textId="77777777" w:rsidR="0059120D" w:rsidRPr="00A76E83" w:rsidRDefault="0059120D">
            <w:pPr>
              <w:jc w:val="both"/>
              <w:rPr>
                <w:rFonts w:ascii="Verdana" w:hAnsi="Verdana" w:cs="Arial"/>
                <w:sz w:val="16"/>
                <w:szCs w:val="16"/>
              </w:rPr>
            </w:pPr>
            <w:r w:rsidRPr="00A76E83">
              <w:rPr>
                <w:rFonts w:ascii="Verdana" w:hAnsi="Verdana" w:cs="Arial"/>
                <w:sz w:val="16"/>
                <w:szCs w:val="16"/>
              </w:rPr>
              <w:t>0,00%</w:t>
            </w:r>
          </w:p>
        </w:tc>
        <w:tc>
          <w:tcPr>
            <w:tcW w:w="1251" w:type="dxa"/>
            <w:tcBorders>
              <w:top w:val="nil"/>
              <w:left w:val="nil"/>
              <w:bottom w:val="single" w:sz="4" w:space="0" w:color="auto"/>
              <w:right w:val="single" w:sz="4" w:space="0" w:color="auto"/>
            </w:tcBorders>
            <w:noWrap/>
            <w:vAlign w:val="bottom"/>
          </w:tcPr>
          <w:p w14:paraId="27BA2390" w14:textId="77777777" w:rsidR="0059120D" w:rsidRPr="00A76E83" w:rsidRDefault="0059120D">
            <w:pPr>
              <w:jc w:val="both"/>
              <w:rPr>
                <w:rFonts w:ascii="Verdana" w:hAnsi="Verdana" w:cs="Arial"/>
                <w:sz w:val="16"/>
                <w:szCs w:val="16"/>
              </w:rPr>
            </w:pPr>
            <w:r w:rsidRPr="00A76E83">
              <w:rPr>
                <w:rFonts w:ascii="Verdana" w:hAnsi="Verdana" w:cs="Arial"/>
                <w:sz w:val="16"/>
                <w:szCs w:val="16"/>
              </w:rPr>
              <w:t>0,00%</w:t>
            </w:r>
          </w:p>
        </w:tc>
      </w:tr>
    </w:tbl>
    <w:p w14:paraId="4B6F6BA7" w14:textId="77777777" w:rsidR="0059120D" w:rsidRPr="00F47BB7" w:rsidRDefault="0059120D" w:rsidP="0059120D">
      <w:pPr>
        <w:jc w:val="both"/>
        <w:rPr>
          <w:rFonts w:ascii="Verdana" w:hAnsi="Verdana" w:cs="Arial"/>
          <w:sz w:val="20"/>
          <w:szCs w:val="20"/>
        </w:rPr>
      </w:pPr>
    </w:p>
    <w:p w14:paraId="4B954372" w14:textId="2943F9DE" w:rsidR="00AF658E" w:rsidRPr="00F47BB7" w:rsidRDefault="00AF658E" w:rsidP="00AF658E">
      <w:pPr>
        <w:spacing w:after="0"/>
        <w:rPr>
          <w:rFonts w:ascii="Verdana" w:hAnsi="Verdana"/>
          <w:sz w:val="20"/>
          <w:szCs w:val="20"/>
        </w:rPr>
      </w:pPr>
      <w:r w:rsidRPr="00F47BB7">
        <w:rPr>
          <w:rFonts w:ascii="Verdana" w:hAnsi="Verdana"/>
          <w:sz w:val="20"/>
          <w:szCs w:val="20"/>
        </w:rPr>
        <w:t>3.9.2.1</w:t>
      </w:r>
      <w:r w:rsidR="00E47B72" w:rsidRPr="00F47BB7">
        <w:rPr>
          <w:rFonts w:ascii="Verdana" w:hAnsi="Verdana"/>
          <w:sz w:val="20"/>
          <w:szCs w:val="20"/>
        </w:rPr>
        <w:t>6</w:t>
      </w:r>
    </w:p>
    <w:p w14:paraId="6857B300" w14:textId="666A1C16" w:rsidR="0059120D" w:rsidRPr="00F47BB7" w:rsidRDefault="0059120D" w:rsidP="0059120D">
      <w:pPr>
        <w:jc w:val="both"/>
        <w:rPr>
          <w:rFonts w:ascii="Verdana" w:hAnsi="Verdana" w:cs="Arial"/>
          <w:sz w:val="20"/>
          <w:szCs w:val="20"/>
        </w:rPr>
      </w:pPr>
      <w:r w:rsidRPr="00F47BB7">
        <w:rPr>
          <w:rFonts w:ascii="Verdana" w:hAnsi="Verdana" w:cs="Arial"/>
          <w:sz w:val="20"/>
          <w:szCs w:val="20"/>
        </w:rPr>
        <w:t xml:space="preserve">Para los valores de la tasa base de provisión (B) y plazos que no estén contemplados en la tabla anterior el factor de ajuste se debe calcular de la siguiente manera: </w:t>
      </w:r>
    </w:p>
    <w:p w14:paraId="6A3A8013" w14:textId="18F1426C" w:rsidR="00093DA7" w:rsidRPr="003360A4" w:rsidRDefault="003365CA" w:rsidP="003360A4">
      <w:pPr>
        <w:jc w:val="center"/>
        <w:rPr>
          <w:rFonts w:ascii="Verdana" w:hAnsi="Verdana"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TP</m:t>
              </m:r>
            </m:e>
            <m:sub>
              <m:r>
                <w:rPr>
                  <w:rFonts w:ascii="Cambria Math" w:hAnsi="Cambria Math" w:cs="Arial"/>
                  <w:sz w:val="20"/>
                  <w:szCs w:val="20"/>
                </w:rPr>
                <m:t>t</m:t>
              </m:r>
            </m:sub>
          </m:sSub>
          <m:r>
            <w:rPr>
              <w:rFonts w:ascii="Cambria Math" w:hAnsi="Cambria Math" w:cs="Arial"/>
              <w:sz w:val="20"/>
              <w:szCs w:val="20"/>
            </w:rPr>
            <m:t>-B</m:t>
          </m:r>
        </m:oMath>
      </m:oMathPara>
    </w:p>
    <w:p w14:paraId="4C7AC4F9" w14:textId="322C580C" w:rsidR="0059120D" w:rsidRPr="00F47BB7" w:rsidRDefault="0059120D" w:rsidP="0059120D">
      <w:pPr>
        <w:jc w:val="both"/>
        <w:rPr>
          <w:rFonts w:ascii="Verdana" w:hAnsi="Verdana" w:cs="Arial"/>
          <w:sz w:val="20"/>
          <w:szCs w:val="20"/>
        </w:rPr>
      </w:pPr>
      <w:r w:rsidRPr="00F47BB7">
        <w:rPr>
          <w:rFonts w:ascii="Verdana" w:hAnsi="Verdana" w:cs="Arial"/>
          <w:sz w:val="20"/>
          <w:szCs w:val="20"/>
        </w:rPr>
        <w:t>Donde:</w:t>
      </w:r>
    </w:p>
    <w:p w14:paraId="5CB0583C" w14:textId="0A941B8C" w:rsidR="0059120D" w:rsidRPr="003360A4" w:rsidRDefault="003365CA" w:rsidP="00E47B72">
      <w:pPr>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t</m:t>
            </m:r>
          </m:sub>
        </m:sSub>
      </m:oMath>
      <w:r w:rsidR="0059120D" w:rsidRPr="003360A4">
        <w:rPr>
          <w:rFonts w:ascii="Verdana" w:hAnsi="Verdana" w:cs="Arial"/>
          <w:sz w:val="20"/>
          <w:szCs w:val="20"/>
        </w:rPr>
        <w:t xml:space="preserve">: corresponde al factor de ajuste aplicable para el mes </w:t>
      </w:r>
      <m:oMath>
        <m:r>
          <w:rPr>
            <w:rFonts w:ascii="Cambria Math" w:hAnsi="Cambria Math" w:cs="Arial"/>
            <w:sz w:val="20"/>
            <w:szCs w:val="20"/>
          </w:rPr>
          <m:t>t</m:t>
        </m:r>
      </m:oMath>
      <w:r w:rsidR="0059120D" w:rsidRPr="003360A4">
        <w:rPr>
          <w:rFonts w:ascii="Verdana" w:hAnsi="Verdana" w:cs="Arial"/>
          <w:sz w:val="20"/>
          <w:szCs w:val="20"/>
        </w:rPr>
        <w:t>.</w:t>
      </w:r>
    </w:p>
    <w:p w14:paraId="4EB65A09" w14:textId="4BFE8D56" w:rsidR="0059120D" w:rsidRPr="003360A4" w:rsidRDefault="003360A4" w:rsidP="00E47B72">
      <w:pPr>
        <w:jc w:val="both"/>
        <w:rPr>
          <w:rFonts w:ascii="Verdana" w:hAnsi="Verdana" w:cs="Arial"/>
          <w:sz w:val="20"/>
          <w:szCs w:val="20"/>
          <w:highlight w:val="yellow"/>
        </w:rPr>
      </w:pPr>
      <m:oMath>
        <m:r>
          <w:rPr>
            <w:rFonts w:ascii="Cambria Math" w:hAnsi="Cambria Math" w:cs="Arial"/>
            <w:sz w:val="20"/>
            <w:szCs w:val="20"/>
          </w:rPr>
          <m:t>B</m:t>
        </m:r>
      </m:oMath>
      <w:r w:rsidR="0059120D" w:rsidRPr="003360A4">
        <w:rPr>
          <w:rFonts w:ascii="Verdana" w:hAnsi="Verdana" w:cs="Arial"/>
          <w:sz w:val="20"/>
          <w:szCs w:val="20"/>
        </w:rPr>
        <w:t xml:space="preserve">: corresponde a la tasa base de provisión, que se calcula </w:t>
      </w:r>
      <w:r w:rsidR="0059120D" w:rsidRPr="005C0ADE">
        <w:rPr>
          <w:rFonts w:ascii="Verdana" w:hAnsi="Verdana" w:cs="Arial"/>
          <w:sz w:val="20"/>
          <w:szCs w:val="20"/>
        </w:rPr>
        <w:t xml:space="preserve">de acuerdo con </w:t>
      </w:r>
      <w:proofErr w:type="gramStart"/>
      <w:r w:rsidR="0059120D" w:rsidRPr="005C0ADE">
        <w:rPr>
          <w:rFonts w:ascii="Verdana" w:hAnsi="Verdana" w:cs="Arial"/>
          <w:sz w:val="20"/>
          <w:szCs w:val="20"/>
        </w:rPr>
        <w:t xml:space="preserve">el </w:t>
      </w:r>
      <w:r w:rsidR="00DD0093" w:rsidRPr="005C0ADE">
        <w:rPr>
          <w:rFonts w:ascii="Verdana" w:hAnsi="Verdana" w:cs="Arial"/>
          <w:sz w:val="20"/>
          <w:szCs w:val="20"/>
        </w:rPr>
        <w:t xml:space="preserve"> </w:t>
      </w:r>
      <w:r w:rsidR="00000552" w:rsidRPr="005C0ADE">
        <w:rPr>
          <w:rFonts w:ascii="Verdana" w:hAnsi="Verdana" w:cs="Arial"/>
          <w:sz w:val="20"/>
          <w:szCs w:val="20"/>
        </w:rPr>
        <w:t>párrafo</w:t>
      </w:r>
      <w:proofErr w:type="gramEnd"/>
      <w:r w:rsidR="00000552" w:rsidRPr="005C0ADE">
        <w:rPr>
          <w:rFonts w:ascii="Verdana" w:hAnsi="Verdana" w:cs="Arial"/>
          <w:sz w:val="20"/>
          <w:szCs w:val="20"/>
        </w:rPr>
        <w:t xml:space="preserve"> </w:t>
      </w:r>
      <w:r w:rsidR="00DD0093" w:rsidRPr="005C0ADE">
        <w:rPr>
          <w:rFonts w:ascii="Verdana" w:hAnsi="Verdana" w:cs="Arial"/>
          <w:sz w:val="20"/>
          <w:szCs w:val="20"/>
        </w:rPr>
        <w:t>3.9.2.1</w:t>
      </w:r>
      <w:r w:rsidR="00000552" w:rsidRPr="005C0ADE">
        <w:rPr>
          <w:rFonts w:ascii="Verdana" w:hAnsi="Verdana" w:cs="Arial"/>
          <w:sz w:val="20"/>
          <w:szCs w:val="20"/>
        </w:rPr>
        <w:t>2</w:t>
      </w:r>
      <w:r w:rsidR="00DD0093" w:rsidRPr="005C0ADE">
        <w:rPr>
          <w:rFonts w:ascii="Verdana" w:hAnsi="Verdana" w:cs="Arial"/>
          <w:sz w:val="20"/>
          <w:szCs w:val="20"/>
        </w:rPr>
        <w:t>.</w:t>
      </w:r>
    </w:p>
    <w:p w14:paraId="015ED16C" w14:textId="63391026" w:rsidR="0059120D" w:rsidRPr="00F47BB7" w:rsidRDefault="003365CA" w:rsidP="0059120D">
      <w:pPr>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TP</m:t>
            </m:r>
          </m:e>
          <m:sub>
            <m:r>
              <w:rPr>
                <w:rFonts w:ascii="Cambria Math" w:hAnsi="Cambria Math" w:cs="Arial"/>
                <w:sz w:val="20"/>
                <w:szCs w:val="20"/>
              </w:rPr>
              <m:t>t</m:t>
            </m:r>
          </m:sub>
        </m:sSub>
      </m:oMath>
      <w:r w:rsidR="0059120D" w:rsidRPr="003360A4">
        <w:rPr>
          <w:rFonts w:ascii="Verdana" w:hAnsi="Verdana" w:cs="Arial"/>
          <w:sz w:val="20"/>
          <w:szCs w:val="20"/>
        </w:rPr>
        <w:t>: corresponde</w:t>
      </w:r>
      <w:r w:rsidR="0059120D" w:rsidRPr="00F47BB7">
        <w:rPr>
          <w:rFonts w:ascii="Verdana" w:hAnsi="Verdana" w:cs="Arial"/>
          <w:sz w:val="20"/>
          <w:szCs w:val="20"/>
        </w:rPr>
        <w:t xml:space="preserve"> a la tasa de provisión para el mes </w:t>
      </w:r>
      <m:oMath>
        <m:r>
          <w:rPr>
            <w:rFonts w:ascii="Cambria Math" w:hAnsi="Cambria Math" w:cs="Arial"/>
            <w:sz w:val="20"/>
            <w:szCs w:val="20"/>
          </w:rPr>
          <m:t>t</m:t>
        </m:r>
      </m:oMath>
      <w:r w:rsidR="0059120D" w:rsidRPr="00F47BB7">
        <w:rPr>
          <w:rFonts w:ascii="Verdana" w:hAnsi="Verdana" w:cs="Arial"/>
          <w:sz w:val="20"/>
          <w:szCs w:val="20"/>
        </w:rPr>
        <w:t>, calculada de la siguiente manera:</w:t>
      </w:r>
    </w:p>
    <w:p w14:paraId="2D94BC01" w14:textId="77777777" w:rsidR="0059120D" w:rsidRPr="00F47BB7" w:rsidRDefault="0059120D" w:rsidP="0059120D">
      <w:pPr>
        <w:jc w:val="both"/>
        <w:rPr>
          <w:rFonts w:ascii="Verdana" w:hAnsi="Verdana" w:cs="Arial"/>
          <w:sz w:val="20"/>
          <w:szCs w:val="20"/>
        </w:rPr>
      </w:pPr>
      <m:oMathPara>
        <m:oMath>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r>
            <w:rPr>
              <w:rFonts w:ascii="Cambria Math" w:hAnsi="Cambria Math" w:cs="Arial"/>
              <w:sz w:val="20"/>
              <w:szCs w:val="20"/>
            </w:rPr>
            <m:t>=B×</m:t>
          </m:r>
          <m:sSup>
            <m:sSupPr>
              <m:ctrlPr>
                <w:rPr>
                  <w:rFonts w:ascii="Cambria Math" w:hAnsi="Cambria Math" w:cs="Arial"/>
                  <w:i/>
                  <w:sz w:val="20"/>
                  <w:szCs w:val="20"/>
                </w:rPr>
              </m:ctrlPr>
            </m:sSupPr>
            <m:e>
              <m:r>
                <w:rPr>
                  <w:rFonts w:ascii="Cambria Math" w:hAnsi="Cambria Math" w:cs="Arial"/>
                  <w:sz w:val="20"/>
                  <w:szCs w:val="20"/>
                </w:rPr>
                <m:t>e</m:t>
              </m:r>
            </m:e>
            <m:sup>
              <m:r>
                <w:rPr>
                  <w:rFonts w:ascii="Cambria Math" w:hAnsi="Cambria Math" w:cs="Arial"/>
                  <w:sz w:val="20"/>
                  <w:szCs w:val="20"/>
                </w:rPr>
                <m:t>TCM×t</m:t>
              </m:r>
            </m:sup>
          </m:sSup>
        </m:oMath>
      </m:oMathPara>
    </w:p>
    <w:p w14:paraId="39784308" w14:textId="77777777" w:rsidR="0059120D" w:rsidRPr="00F47BB7" w:rsidRDefault="0059120D" w:rsidP="0059120D">
      <w:pPr>
        <w:jc w:val="both"/>
        <w:rPr>
          <w:rFonts w:ascii="Verdana" w:hAnsi="Verdana" w:cs="Arial"/>
          <w:sz w:val="20"/>
          <w:szCs w:val="20"/>
        </w:rPr>
      </w:pPr>
      <w:r w:rsidRPr="00F47BB7">
        <w:rPr>
          <w:rFonts w:ascii="Verdana" w:hAnsi="Verdana" w:cs="Arial"/>
          <w:sz w:val="20"/>
          <w:szCs w:val="20"/>
        </w:rPr>
        <w:lastRenderedPageBreak/>
        <w:t>Donde:</w:t>
      </w:r>
    </w:p>
    <w:p w14:paraId="5E6E0E48" w14:textId="38CF1A5C" w:rsidR="0059120D" w:rsidRPr="00F47BB7" w:rsidRDefault="002F5852" w:rsidP="002F5852">
      <w:pPr>
        <w:jc w:val="both"/>
        <w:rPr>
          <w:rFonts w:ascii="Verdana" w:hAnsi="Verdana" w:cs="Arial"/>
          <w:sz w:val="20"/>
          <w:szCs w:val="20"/>
        </w:rPr>
      </w:pPr>
      <m:oMath>
        <m:r>
          <w:rPr>
            <w:rFonts w:ascii="Cambria Math" w:hAnsi="Cambria Math" w:cs="Arial"/>
            <w:sz w:val="20"/>
            <w:szCs w:val="20"/>
          </w:rPr>
          <m:t>TCM</m:t>
        </m:r>
      </m:oMath>
      <w:r w:rsidR="0059120D" w:rsidRPr="002F5852">
        <w:rPr>
          <w:rFonts w:ascii="Verdana" w:hAnsi="Verdana" w:cs="Arial"/>
          <w:bCs/>
          <w:sz w:val="20"/>
          <w:szCs w:val="20"/>
        </w:rPr>
        <w:t>:</w:t>
      </w:r>
      <w:r w:rsidR="0059120D" w:rsidRPr="00F47BB7">
        <w:rPr>
          <w:rFonts w:ascii="Verdana" w:hAnsi="Verdana" w:cs="Arial"/>
          <w:b/>
          <w:bCs/>
          <w:sz w:val="20"/>
          <w:szCs w:val="20"/>
        </w:rPr>
        <w:t xml:space="preserve"> </w:t>
      </w:r>
      <w:r w:rsidR="0059120D" w:rsidRPr="00F47BB7">
        <w:rPr>
          <w:rFonts w:ascii="Verdana" w:hAnsi="Verdana" w:cs="Arial"/>
          <w:sz w:val="20"/>
          <w:szCs w:val="20"/>
        </w:rPr>
        <w:t>es la tasa de crecimiento mensual de las provisiones, calculada a partir de la siguiente expresión:</w:t>
      </w:r>
    </w:p>
    <w:p w14:paraId="3F26C370" w14:textId="77777777" w:rsidR="0059120D" w:rsidRPr="00F47BB7" w:rsidRDefault="0059120D" w:rsidP="002F5852">
      <w:pPr>
        <w:pStyle w:val="Prrafodelista"/>
        <w:ind w:left="0"/>
        <w:jc w:val="both"/>
        <w:rPr>
          <w:rFonts w:ascii="Verdana" w:hAnsi="Verdana" w:cs="Arial"/>
          <w:sz w:val="20"/>
          <w:szCs w:val="20"/>
        </w:rPr>
      </w:pPr>
      <m:oMathPara>
        <m:oMath>
          <m:r>
            <w:rPr>
              <w:rFonts w:ascii="Cambria Math" w:hAnsi="Cambria Math" w:cs="Arial"/>
              <w:sz w:val="20"/>
              <w:szCs w:val="20"/>
            </w:rPr>
            <m:t>TCM=</m:t>
          </m:r>
          <m:f>
            <m:fPr>
              <m:ctrlPr>
                <w:rPr>
                  <w:rFonts w:ascii="Cambria Math" w:hAnsi="Cambria Math" w:cs="Arial"/>
                  <w:i/>
                  <w:sz w:val="20"/>
                  <w:szCs w:val="20"/>
                </w:rPr>
              </m:ctrlPr>
            </m:fPr>
            <m:num>
              <m:func>
                <m:funcPr>
                  <m:ctrlPr>
                    <w:rPr>
                      <w:rFonts w:ascii="Cambria Math" w:hAnsi="Cambria Math" w:cs="Arial"/>
                      <w:i/>
                      <w:sz w:val="20"/>
                      <w:szCs w:val="20"/>
                    </w:rPr>
                  </m:ctrlPr>
                </m:funcPr>
                <m:fName>
                  <m:r>
                    <m:rPr>
                      <m:sty m:val="p"/>
                    </m:rPr>
                    <w:rPr>
                      <w:rFonts w:ascii="Cambria Math" w:hAnsi="Cambria Math" w:cs="Arial"/>
                      <w:sz w:val="20"/>
                      <w:szCs w:val="20"/>
                    </w:rPr>
                    <m:t>ln</m:t>
                  </m:r>
                </m:fName>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0.8</m:t>
                          </m:r>
                        </m:num>
                        <m:den>
                          <m:r>
                            <w:rPr>
                              <w:rFonts w:ascii="Cambria Math" w:hAnsi="Cambria Math" w:cs="Arial"/>
                              <w:sz w:val="20"/>
                              <w:szCs w:val="20"/>
                            </w:rPr>
                            <m:t>B</m:t>
                          </m:r>
                        </m:den>
                      </m:f>
                    </m:e>
                  </m:d>
                </m:e>
              </m:func>
            </m:num>
            <m:den>
              <m:r>
                <w:rPr>
                  <w:rFonts w:ascii="Cambria Math" w:hAnsi="Cambria Math" w:cs="Arial"/>
                  <w:sz w:val="20"/>
                  <w:szCs w:val="20"/>
                </w:rPr>
                <m:t>48</m:t>
              </m:r>
            </m:den>
          </m:f>
        </m:oMath>
      </m:oMathPara>
    </w:p>
    <w:p w14:paraId="0C9E29F3" w14:textId="77777777" w:rsidR="0003132C" w:rsidRDefault="002F5852" w:rsidP="0003132C">
      <w:pPr>
        <w:jc w:val="both"/>
        <w:rPr>
          <w:rFonts w:ascii="Verdana" w:hAnsi="Verdana" w:cs="Arial"/>
          <w:sz w:val="20"/>
          <w:szCs w:val="20"/>
        </w:rPr>
      </w:pPr>
      <m:oMath>
        <m:r>
          <w:rPr>
            <w:rFonts w:ascii="Cambria Math" w:hAnsi="Cambria Math" w:cs="Arial"/>
            <w:sz w:val="20"/>
            <w:szCs w:val="20"/>
          </w:rPr>
          <m:t>t</m:t>
        </m:r>
      </m:oMath>
      <w:r w:rsidR="0059120D" w:rsidRPr="002F5852">
        <w:rPr>
          <w:rFonts w:ascii="Verdana" w:hAnsi="Verdana" w:cs="Arial"/>
          <w:bCs/>
          <w:sz w:val="20"/>
          <w:szCs w:val="20"/>
        </w:rPr>
        <w:t>:</w:t>
      </w:r>
      <w:r w:rsidR="0059120D" w:rsidRPr="00F47BB7">
        <w:rPr>
          <w:rFonts w:ascii="Verdana" w:hAnsi="Verdana" w:cs="Arial"/>
          <w:sz w:val="20"/>
          <w:szCs w:val="20"/>
        </w:rPr>
        <w:t xml:space="preserve"> 1, 2, … 48 (meses).</w:t>
      </w:r>
    </w:p>
    <w:p w14:paraId="09C557A9" w14:textId="77777777" w:rsidR="0003132C" w:rsidRDefault="0003132C" w:rsidP="0003132C">
      <w:pPr>
        <w:jc w:val="both"/>
        <w:rPr>
          <w:rFonts w:ascii="Verdana" w:hAnsi="Verdana" w:cs="Arial"/>
          <w:sz w:val="20"/>
          <w:szCs w:val="20"/>
        </w:rPr>
      </w:pPr>
    </w:p>
    <w:p w14:paraId="1174584B" w14:textId="2ABC02D4" w:rsidR="0059120D" w:rsidRPr="0003132C" w:rsidRDefault="0059120D" w:rsidP="0003132C">
      <w:pPr>
        <w:jc w:val="both"/>
        <w:rPr>
          <w:rFonts w:ascii="Verdana" w:hAnsi="Verdana" w:cs="Arial"/>
          <w:sz w:val="20"/>
          <w:szCs w:val="20"/>
        </w:rPr>
      </w:pPr>
      <w:r w:rsidRPr="00F47BB7">
        <w:rPr>
          <w:rFonts w:ascii="Verdana" w:hAnsi="Verdana" w:cs="Arial"/>
          <w:b/>
          <w:sz w:val="20"/>
          <w:szCs w:val="20"/>
        </w:rPr>
        <w:t>No objeción de los modelos internos para el cálculo de provisiones sobre BRDP</w:t>
      </w:r>
    </w:p>
    <w:p w14:paraId="39EAB35C" w14:textId="394C6D61" w:rsidR="003B5CF0" w:rsidRPr="00F47BB7" w:rsidRDefault="003B5CF0" w:rsidP="003B5CF0">
      <w:pPr>
        <w:spacing w:after="0"/>
        <w:rPr>
          <w:rFonts w:ascii="Verdana" w:hAnsi="Verdana"/>
          <w:sz w:val="20"/>
          <w:szCs w:val="20"/>
        </w:rPr>
      </w:pPr>
      <w:r w:rsidRPr="00F47BB7">
        <w:rPr>
          <w:rFonts w:ascii="Verdana" w:hAnsi="Verdana"/>
          <w:sz w:val="20"/>
          <w:szCs w:val="20"/>
        </w:rPr>
        <w:t>3.9.2.1</w:t>
      </w:r>
      <w:r w:rsidR="003A3567" w:rsidRPr="00F47BB7">
        <w:rPr>
          <w:rFonts w:ascii="Verdana" w:hAnsi="Verdana"/>
          <w:sz w:val="20"/>
          <w:szCs w:val="20"/>
        </w:rPr>
        <w:t>7</w:t>
      </w:r>
    </w:p>
    <w:p w14:paraId="5AB50052" w14:textId="3E7AF418"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El modelo interno para el cálculo de las provisiones sobre BRDP desarrollado de acuerdo con los parámetros anteriormente indicados debe presentarse para no objeción de la Superintendencia Financiera de Colombia.</w:t>
      </w:r>
    </w:p>
    <w:p w14:paraId="09C07034" w14:textId="4AC59A77" w:rsidR="0059120D" w:rsidRPr="00F47BB7" w:rsidRDefault="0059120D" w:rsidP="00031095">
      <w:pPr>
        <w:suppressAutoHyphens/>
        <w:jc w:val="both"/>
        <w:rPr>
          <w:rFonts w:ascii="Verdana" w:hAnsi="Verdana" w:cs="Arial"/>
          <w:b/>
          <w:sz w:val="20"/>
          <w:szCs w:val="20"/>
        </w:rPr>
      </w:pPr>
      <w:r w:rsidRPr="00F47BB7">
        <w:rPr>
          <w:rFonts w:ascii="Verdana" w:hAnsi="Verdana" w:cs="Arial"/>
          <w:b/>
          <w:sz w:val="20"/>
          <w:szCs w:val="20"/>
        </w:rPr>
        <w:t>Constitución de provisiones de BRDP inmuebles para las entidades que no cuentan con modelos internos</w:t>
      </w:r>
    </w:p>
    <w:p w14:paraId="4C231D9C" w14:textId="1127FF90" w:rsidR="00031095" w:rsidRPr="00F47BB7" w:rsidRDefault="00031095" w:rsidP="00031095">
      <w:pPr>
        <w:spacing w:after="0"/>
        <w:rPr>
          <w:rFonts w:ascii="Verdana" w:hAnsi="Verdana"/>
          <w:sz w:val="20"/>
          <w:szCs w:val="20"/>
        </w:rPr>
      </w:pPr>
      <w:r w:rsidRPr="00F47BB7">
        <w:rPr>
          <w:rFonts w:ascii="Verdana" w:hAnsi="Verdana"/>
          <w:sz w:val="20"/>
          <w:szCs w:val="20"/>
        </w:rPr>
        <w:t>3.9.2.1</w:t>
      </w:r>
      <w:r w:rsidR="003A3567" w:rsidRPr="00F47BB7">
        <w:rPr>
          <w:rFonts w:ascii="Verdana" w:hAnsi="Verdana"/>
          <w:sz w:val="20"/>
          <w:szCs w:val="20"/>
        </w:rPr>
        <w:t>8</w:t>
      </w:r>
    </w:p>
    <w:p w14:paraId="0CE9F440" w14:textId="66EE32DE" w:rsidR="0059120D" w:rsidRPr="00F47BB7" w:rsidRDefault="0059120D" w:rsidP="14528289">
      <w:pPr>
        <w:suppressAutoHyphens/>
        <w:jc w:val="both"/>
        <w:rPr>
          <w:rFonts w:ascii="Verdana" w:hAnsi="Verdana" w:cs="Arial"/>
          <w:sz w:val="20"/>
          <w:szCs w:val="20"/>
        </w:rPr>
      </w:pPr>
      <w:r w:rsidRPr="00F47BB7">
        <w:rPr>
          <w:rFonts w:ascii="Verdana" w:hAnsi="Verdana" w:cs="Arial"/>
          <w:sz w:val="20"/>
          <w:szCs w:val="20"/>
        </w:rPr>
        <w:t xml:space="preserve">En caso de que la entidad no presente modelo </w:t>
      </w:r>
      <w:r w:rsidR="00205648">
        <w:rPr>
          <w:rFonts w:ascii="Verdana" w:hAnsi="Verdana" w:cs="Arial"/>
          <w:sz w:val="20"/>
          <w:szCs w:val="20"/>
        </w:rPr>
        <w:t>interno</w:t>
      </w:r>
      <w:r w:rsidRPr="00F47BB7">
        <w:rPr>
          <w:rFonts w:ascii="Verdana" w:hAnsi="Verdana" w:cs="Arial"/>
          <w:sz w:val="20"/>
          <w:szCs w:val="20"/>
        </w:rPr>
        <w:t xml:space="preserve"> o el que presente sea objetado por la Superintendencia Financiera de Colombia, desde la fecha de recepción del BRDP se debe constituir una provisión en alícuotas mensuales dentro del año siguiente a la recepción del bien, equivalente al 30% del valor de reconocimiento inicial del BRDP en los términos del </w:t>
      </w:r>
      <w:r w:rsidR="003E09E4" w:rsidRPr="00E00C5F">
        <w:rPr>
          <w:rFonts w:ascii="Verdana" w:hAnsi="Verdana" w:cs="Arial"/>
          <w:sz w:val="20"/>
          <w:szCs w:val="20"/>
        </w:rPr>
        <w:t xml:space="preserve">párrafo </w:t>
      </w:r>
      <w:r w:rsidR="00482B7C" w:rsidRPr="00E00C5F">
        <w:rPr>
          <w:rFonts w:ascii="Verdana" w:hAnsi="Verdana" w:cs="Arial"/>
          <w:sz w:val="20"/>
          <w:szCs w:val="20"/>
        </w:rPr>
        <w:t>3.9.2.2</w:t>
      </w:r>
      <w:r w:rsidR="003E09E4" w:rsidRPr="00E00C5F">
        <w:rPr>
          <w:rFonts w:ascii="Verdana" w:hAnsi="Verdana" w:cs="Arial"/>
          <w:sz w:val="20"/>
          <w:szCs w:val="20"/>
        </w:rPr>
        <w:t>7</w:t>
      </w:r>
      <w:r w:rsidR="00482B7C" w:rsidRPr="00E00C5F">
        <w:rPr>
          <w:rFonts w:ascii="Verdana" w:hAnsi="Verdana" w:cs="Arial"/>
          <w:sz w:val="20"/>
          <w:szCs w:val="20"/>
        </w:rPr>
        <w:t>.</w:t>
      </w:r>
      <w:r w:rsidRPr="00E00C5F">
        <w:rPr>
          <w:rFonts w:ascii="Verdana" w:hAnsi="Verdana" w:cs="Arial"/>
          <w:sz w:val="20"/>
          <w:szCs w:val="20"/>
        </w:rPr>
        <w:t xml:space="preserve"> del presente capítulo (esto es el valor de recepción).</w:t>
      </w:r>
      <w:r w:rsidRPr="00F47BB7">
        <w:rPr>
          <w:rFonts w:ascii="Verdana" w:hAnsi="Verdana" w:cs="Arial"/>
          <w:sz w:val="20"/>
          <w:szCs w:val="20"/>
        </w:rPr>
        <w:t xml:space="preserve"> Esta provisión debe incrementarse en alícuotas mensuales dentro del segundo año en un 30% adicional hasta alcanzar el 60% del costo de adquisición del BRDP. Una vez vencido el término legal para la venta sin que se haya autorizado prórroga, la provisión debe ser del 80% del costo de adquisición del BRDP. En caso de concederse prórroga el 20% restante de la provisión podrá constituirse dentro del término de </w:t>
      </w:r>
      <w:proofErr w:type="gramStart"/>
      <w:r w:rsidRPr="00F47BB7">
        <w:rPr>
          <w:rFonts w:ascii="Verdana" w:hAnsi="Verdana" w:cs="Arial"/>
          <w:sz w:val="20"/>
          <w:szCs w:val="20"/>
        </w:rPr>
        <w:t>la misma</w:t>
      </w:r>
      <w:proofErr w:type="gramEnd"/>
      <w:r w:rsidRPr="00F47BB7">
        <w:rPr>
          <w:rFonts w:ascii="Verdana" w:hAnsi="Verdana" w:cs="Arial"/>
          <w:sz w:val="20"/>
          <w:szCs w:val="20"/>
        </w:rPr>
        <w:t xml:space="preserve">. </w:t>
      </w:r>
    </w:p>
    <w:p w14:paraId="467B5CE1" w14:textId="6985D0F8" w:rsidR="00910454" w:rsidRPr="00F47BB7" w:rsidRDefault="00910454" w:rsidP="00910454">
      <w:pPr>
        <w:spacing w:after="0"/>
        <w:rPr>
          <w:rFonts w:ascii="Verdana" w:hAnsi="Verdana"/>
          <w:sz w:val="20"/>
          <w:szCs w:val="20"/>
        </w:rPr>
      </w:pPr>
      <w:r w:rsidRPr="00F47BB7">
        <w:rPr>
          <w:rFonts w:ascii="Verdana" w:hAnsi="Verdana"/>
          <w:sz w:val="20"/>
          <w:szCs w:val="20"/>
        </w:rPr>
        <w:t>3.9.2.1</w:t>
      </w:r>
      <w:r w:rsidR="00E6512F" w:rsidRPr="00F47BB7">
        <w:rPr>
          <w:rFonts w:ascii="Verdana" w:hAnsi="Verdana"/>
          <w:sz w:val="20"/>
          <w:szCs w:val="20"/>
        </w:rPr>
        <w:t>9</w:t>
      </w:r>
    </w:p>
    <w:p w14:paraId="064BEE35" w14:textId="2D01408B"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Cuando el valor de reconocimient</w:t>
      </w:r>
      <w:r w:rsidRPr="00024C01">
        <w:rPr>
          <w:rFonts w:ascii="Verdana" w:hAnsi="Verdana" w:cs="Arial"/>
          <w:sz w:val="20"/>
          <w:szCs w:val="20"/>
        </w:rPr>
        <w:t xml:space="preserve">o inicial en los términos del </w:t>
      </w:r>
      <w:r w:rsidR="00024C01" w:rsidRPr="00024C01">
        <w:rPr>
          <w:rFonts w:ascii="Verdana" w:hAnsi="Verdana" w:cs="Arial"/>
          <w:sz w:val="20"/>
          <w:szCs w:val="20"/>
        </w:rPr>
        <w:t>pá</w:t>
      </w:r>
      <w:r w:rsidR="00316EA6" w:rsidRPr="00024C01">
        <w:rPr>
          <w:rFonts w:ascii="Verdana" w:hAnsi="Verdana" w:cs="Arial"/>
          <w:sz w:val="20"/>
          <w:szCs w:val="20"/>
        </w:rPr>
        <w:t>rrafo 3.9.2.27.</w:t>
      </w:r>
      <w:r w:rsidRPr="00024C01">
        <w:rPr>
          <w:rFonts w:ascii="Verdana" w:hAnsi="Verdana" w:cs="Arial"/>
          <w:sz w:val="20"/>
          <w:szCs w:val="20"/>
        </w:rPr>
        <w:t xml:space="preserve"> del presente capítulo del inmueble</w:t>
      </w:r>
      <w:r w:rsidRPr="00F47BB7">
        <w:rPr>
          <w:rFonts w:ascii="Verdana" w:hAnsi="Verdana" w:cs="Arial"/>
          <w:sz w:val="20"/>
          <w:szCs w:val="20"/>
        </w:rPr>
        <w:t xml:space="preserve"> sea inferior al valor de la deuda registrada en el estado de la situación financiera, la diferencia se debe reconocer de manera inmediata como un gasto en el estado de resultados.</w:t>
      </w:r>
    </w:p>
    <w:p w14:paraId="3E47637A" w14:textId="070A6832" w:rsidR="00910454" w:rsidRPr="00F47BB7" w:rsidRDefault="00910454" w:rsidP="00910454">
      <w:pPr>
        <w:spacing w:after="0"/>
        <w:rPr>
          <w:rFonts w:ascii="Verdana" w:hAnsi="Verdana"/>
          <w:sz w:val="20"/>
          <w:szCs w:val="20"/>
        </w:rPr>
      </w:pPr>
      <w:r w:rsidRPr="00F47BB7">
        <w:rPr>
          <w:rFonts w:ascii="Verdana" w:hAnsi="Verdana"/>
          <w:sz w:val="20"/>
          <w:szCs w:val="20"/>
        </w:rPr>
        <w:t>3.9.2.</w:t>
      </w:r>
      <w:r w:rsidR="00E6512F" w:rsidRPr="00F47BB7">
        <w:rPr>
          <w:rFonts w:ascii="Verdana" w:hAnsi="Verdana"/>
          <w:sz w:val="20"/>
          <w:szCs w:val="20"/>
        </w:rPr>
        <w:t>20</w:t>
      </w:r>
    </w:p>
    <w:p w14:paraId="01820123" w14:textId="2BCD9B1D" w:rsidR="00C91F05" w:rsidRPr="00A76E83" w:rsidRDefault="0059120D" w:rsidP="00A76E83">
      <w:pPr>
        <w:suppressAutoHyphens/>
        <w:jc w:val="both"/>
        <w:rPr>
          <w:rFonts w:ascii="Verdana" w:hAnsi="Verdana" w:cs="Arial"/>
          <w:sz w:val="20"/>
          <w:szCs w:val="20"/>
        </w:rPr>
      </w:pPr>
      <w:r w:rsidRPr="00F47BB7">
        <w:rPr>
          <w:rFonts w:ascii="Verdana" w:hAnsi="Verdana" w:cs="Arial"/>
          <w:sz w:val="20"/>
          <w:szCs w:val="20"/>
        </w:rPr>
        <w:t xml:space="preserve">Cuando en las mediciones posteriores realizadas dentro del plazo para la enajenación, el valor comercial del inmueble sea inferior al valor en libros de los BRDP se debe contabilizar una provisión por la diferencia. </w:t>
      </w:r>
    </w:p>
    <w:p w14:paraId="473926F7" w14:textId="3CB7495C" w:rsidR="0059120D" w:rsidRPr="00F47BB7" w:rsidRDefault="00A76E83" w:rsidP="0059120D">
      <w:pPr>
        <w:jc w:val="both"/>
        <w:rPr>
          <w:rFonts w:ascii="Verdana" w:hAnsi="Verdana" w:cs="Arial"/>
          <w:b/>
          <w:sz w:val="20"/>
          <w:szCs w:val="20"/>
        </w:rPr>
      </w:pPr>
      <w:r w:rsidRPr="00F47BB7">
        <w:rPr>
          <w:rFonts w:ascii="Verdana" w:hAnsi="Verdana" w:cs="Arial"/>
          <w:b/>
          <w:sz w:val="20"/>
          <w:szCs w:val="20"/>
        </w:rPr>
        <w:t xml:space="preserve">REGLAS PARA LA CONSTITUCIÓN DE PROVISIONES SOBRE BRDPS MUEBLES </w:t>
      </w:r>
    </w:p>
    <w:p w14:paraId="0021A156" w14:textId="2B247A38" w:rsidR="00C91F05" w:rsidRPr="00F47BB7" w:rsidRDefault="00C91F05" w:rsidP="00C91F05">
      <w:pPr>
        <w:spacing w:after="0"/>
        <w:rPr>
          <w:rFonts w:ascii="Verdana" w:hAnsi="Verdana"/>
          <w:sz w:val="20"/>
          <w:szCs w:val="20"/>
        </w:rPr>
      </w:pPr>
      <w:r w:rsidRPr="00F47BB7">
        <w:rPr>
          <w:rFonts w:ascii="Verdana" w:hAnsi="Verdana"/>
          <w:sz w:val="20"/>
          <w:szCs w:val="20"/>
        </w:rPr>
        <w:t>3.9.2.</w:t>
      </w:r>
      <w:r w:rsidR="00E6512F" w:rsidRPr="00F47BB7">
        <w:rPr>
          <w:rFonts w:ascii="Verdana" w:hAnsi="Verdana"/>
          <w:sz w:val="20"/>
          <w:szCs w:val="20"/>
        </w:rPr>
        <w:t>21</w:t>
      </w:r>
    </w:p>
    <w:p w14:paraId="16DC504A" w14:textId="53DB2820" w:rsidR="00A76E83" w:rsidRPr="00A76E83" w:rsidRDefault="0059120D" w:rsidP="00A76E83">
      <w:pPr>
        <w:suppressAutoHyphens/>
        <w:jc w:val="both"/>
        <w:rPr>
          <w:rFonts w:ascii="Verdana" w:hAnsi="Verdana" w:cs="Arial"/>
          <w:sz w:val="20"/>
          <w:szCs w:val="20"/>
        </w:rPr>
      </w:pPr>
      <w:r w:rsidRPr="00F47BB7">
        <w:rPr>
          <w:rFonts w:ascii="Verdana" w:hAnsi="Verdana" w:cs="Arial"/>
          <w:sz w:val="20"/>
          <w:szCs w:val="20"/>
        </w:rPr>
        <w:t xml:space="preserve">Respecto de los BRDP muebles, desde de la fecha de la recepción del BRDP se debe constituir una provisión equivalente al 35% del valor de reconocimiento inicial en los términos </w:t>
      </w:r>
      <w:r w:rsidRPr="009B722B">
        <w:rPr>
          <w:rFonts w:ascii="Verdana" w:hAnsi="Verdana" w:cs="Arial"/>
          <w:sz w:val="20"/>
          <w:szCs w:val="20"/>
        </w:rPr>
        <w:t>del</w:t>
      </w:r>
      <w:r w:rsidR="00ED3FD6">
        <w:rPr>
          <w:rFonts w:ascii="Verdana" w:hAnsi="Verdana" w:cs="Arial"/>
          <w:sz w:val="20"/>
          <w:szCs w:val="20"/>
        </w:rPr>
        <w:t xml:space="preserve"> </w:t>
      </w:r>
      <w:r w:rsidR="00316EA6" w:rsidRPr="009B722B">
        <w:rPr>
          <w:rFonts w:ascii="Verdana" w:hAnsi="Verdana" w:cs="Arial"/>
          <w:sz w:val="20"/>
          <w:szCs w:val="20"/>
        </w:rPr>
        <w:t xml:space="preserve">párrafo </w:t>
      </w:r>
      <w:r w:rsidR="00280CBC" w:rsidRPr="009B722B">
        <w:rPr>
          <w:rFonts w:ascii="Verdana" w:hAnsi="Verdana" w:cs="Arial"/>
          <w:sz w:val="20"/>
          <w:szCs w:val="20"/>
        </w:rPr>
        <w:t>3.9.2.2</w:t>
      </w:r>
      <w:r w:rsidR="00F41689" w:rsidRPr="009B722B">
        <w:rPr>
          <w:rFonts w:ascii="Verdana" w:hAnsi="Verdana" w:cs="Arial"/>
          <w:sz w:val="20"/>
          <w:szCs w:val="20"/>
        </w:rPr>
        <w:t>7</w:t>
      </w:r>
      <w:r w:rsidR="00280CBC" w:rsidRPr="009B722B">
        <w:rPr>
          <w:rFonts w:ascii="Verdana" w:hAnsi="Verdana" w:cs="Arial"/>
          <w:sz w:val="20"/>
          <w:szCs w:val="20"/>
        </w:rPr>
        <w:t xml:space="preserve">. </w:t>
      </w:r>
      <w:r w:rsidRPr="009B722B">
        <w:rPr>
          <w:rFonts w:ascii="Verdana" w:hAnsi="Verdana" w:cs="Arial"/>
          <w:sz w:val="20"/>
          <w:szCs w:val="20"/>
        </w:rPr>
        <w:t>del presente capítulo, dentro del año siguiente</w:t>
      </w:r>
      <w:r w:rsidRPr="00F47BB7">
        <w:rPr>
          <w:rFonts w:ascii="Verdana" w:hAnsi="Verdana" w:cs="Arial"/>
          <w:sz w:val="20"/>
          <w:szCs w:val="20"/>
        </w:rPr>
        <w:t xml:space="preserve"> de la recepción del bien. Esta provisión debe incrementarse en el segundo año en un 35% adicional hasta alcanzar el 70% del valor de reconocimiento ya mencionado antes de provisiones. Una vez vencido el término legal para la venta sin que se haya autorizado prórroga, la provisión debe corresponder al 100% del valor de </w:t>
      </w:r>
      <w:r w:rsidR="00C00956" w:rsidRPr="00F47BB7">
        <w:rPr>
          <w:rFonts w:ascii="Verdana" w:hAnsi="Verdana" w:cs="Arial"/>
          <w:sz w:val="20"/>
          <w:szCs w:val="20"/>
        </w:rPr>
        <w:t>reconocimiento.</w:t>
      </w:r>
      <w:r w:rsidRPr="00F47BB7">
        <w:rPr>
          <w:rFonts w:ascii="Verdana" w:hAnsi="Verdana" w:cs="Arial"/>
          <w:sz w:val="20"/>
          <w:szCs w:val="20"/>
        </w:rPr>
        <w:t xml:space="preserve"> En caso de concederse prórroga, el 30% restante de la provisión podrá constituirse dentro del término de la mencionada prórroga.</w:t>
      </w:r>
    </w:p>
    <w:p w14:paraId="21039D39" w14:textId="67432B2D" w:rsidR="001A5AF2" w:rsidRPr="00F47BB7" w:rsidRDefault="001A5AF2" w:rsidP="001A5AF2">
      <w:pPr>
        <w:spacing w:after="0"/>
        <w:rPr>
          <w:rFonts w:ascii="Verdana" w:hAnsi="Verdana"/>
          <w:sz w:val="20"/>
          <w:szCs w:val="20"/>
        </w:rPr>
      </w:pPr>
      <w:r w:rsidRPr="00F47BB7">
        <w:rPr>
          <w:rFonts w:ascii="Verdana" w:hAnsi="Verdana"/>
          <w:sz w:val="20"/>
          <w:szCs w:val="20"/>
        </w:rPr>
        <w:t>3.9.2.</w:t>
      </w:r>
      <w:r w:rsidR="00910454" w:rsidRPr="00F47BB7">
        <w:rPr>
          <w:rFonts w:ascii="Verdana" w:hAnsi="Verdana"/>
          <w:sz w:val="20"/>
          <w:szCs w:val="20"/>
        </w:rPr>
        <w:t>2</w:t>
      </w:r>
      <w:r w:rsidR="00E6512F" w:rsidRPr="00F47BB7">
        <w:rPr>
          <w:rFonts w:ascii="Verdana" w:hAnsi="Verdana"/>
          <w:sz w:val="20"/>
          <w:szCs w:val="20"/>
        </w:rPr>
        <w:t>2</w:t>
      </w:r>
    </w:p>
    <w:p w14:paraId="4F5E4E8F" w14:textId="767D875D"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Cuando el valor de reconocimiento inicial del bien mueble sea inferior al valor de la deuda registrada en el estado de la situación financiera, la diferencia se debe reconocer de manera inmediata como un gasto en el estado de resultados integrales.</w:t>
      </w:r>
    </w:p>
    <w:p w14:paraId="665D70D7" w14:textId="5EAF3F44" w:rsidR="000D5EBE" w:rsidRPr="00F47BB7" w:rsidRDefault="000D5EBE" w:rsidP="000D5EBE">
      <w:pPr>
        <w:spacing w:after="0"/>
        <w:rPr>
          <w:rFonts w:ascii="Verdana" w:hAnsi="Verdana"/>
          <w:sz w:val="20"/>
          <w:szCs w:val="20"/>
        </w:rPr>
      </w:pPr>
      <w:r w:rsidRPr="00F47BB7">
        <w:rPr>
          <w:rFonts w:ascii="Verdana" w:hAnsi="Verdana"/>
          <w:sz w:val="20"/>
          <w:szCs w:val="20"/>
        </w:rPr>
        <w:t>3.9.2.</w:t>
      </w:r>
      <w:r w:rsidR="00910454" w:rsidRPr="00F47BB7">
        <w:rPr>
          <w:rFonts w:ascii="Verdana" w:hAnsi="Verdana"/>
          <w:sz w:val="20"/>
          <w:szCs w:val="20"/>
        </w:rPr>
        <w:t>2</w:t>
      </w:r>
      <w:r w:rsidR="00E6512F" w:rsidRPr="00F47BB7">
        <w:rPr>
          <w:rFonts w:ascii="Verdana" w:hAnsi="Verdana"/>
          <w:sz w:val="20"/>
          <w:szCs w:val="20"/>
        </w:rPr>
        <w:t>3</w:t>
      </w:r>
    </w:p>
    <w:p w14:paraId="68C737C0" w14:textId="58C33D5C" w:rsidR="0059120D" w:rsidRPr="00A76E83" w:rsidRDefault="0059120D" w:rsidP="00A76E83">
      <w:pPr>
        <w:suppressAutoHyphens/>
        <w:jc w:val="both"/>
        <w:rPr>
          <w:rFonts w:ascii="Verdana" w:hAnsi="Verdana" w:cs="Arial"/>
          <w:sz w:val="20"/>
          <w:szCs w:val="20"/>
        </w:rPr>
      </w:pPr>
      <w:r w:rsidRPr="00F47BB7">
        <w:rPr>
          <w:rFonts w:ascii="Verdana" w:hAnsi="Verdana" w:cs="Arial"/>
          <w:sz w:val="20"/>
          <w:szCs w:val="20"/>
        </w:rPr>
        <w:t>Cuando en las mediciones posteriores realizadas dentro del plazo para la enajenación, el valor comercial del bien mueble sea inferior al valor en libros de los BRDP se debe contabilizar una provisión por la diferencia.</w:t>
      </w:r>
    </w:p>
    <w:p w14:paraId="40F67041" w14:textId="77777777" w:rsidR="00B7510B" w:rsidRPr="00A76E83" w:rsidRDefault="00B7510B" w:rsidP="00A76E83">
      <w:pPr>
        <w:suppressAutoHyphens/>
        <w:jc w:val="both"/>
        <w:rPr>
          <w:rFonts w:ascii="Verdana" w:hAnsi="Verdana" w:cs="Arial"/>
          <w:sz w:val="20"/>
          <w:szCs w:val="20"/>
        </w:rPr>
      </w:pPr>
    </w:p>
    <w:p w14:paraId="3DB2A082" w14:textId="69F0B963" w:rsidR="0059120D" w:rsidRPr="00F47BB7" w:rsidRDefault="00A76E83" w:rsidP="0059120D">
      <w:pPr>
        <w:jc w:val="both"/>
        <w:rPr>
          <w:rFonts w:ascii="Verdana" w:hAnsi="Verdana" w:cs="Arial"/>
          <w:b/>
          <w:sz w:val="20"/>
          <w:szCs w:val="20"/>
        </w:rPr>
      </w:pPr>
      <w:r w:rsidRPr="00F47BB7">
        <w:rPr>
          <w:rFonts w:ascii="Verdana" w:hAnsi="Verdana" w:cs="Arial"/>
          <w:b/>
          <w:sz w:val="20"/>
          <w:szCs w:val="20"/>
        </w:rPr>
        <w:lastRenderedPageBreak/>
        <w:t>REGLAS SOBRE LOS PROCEDIMIENTOS DE CONTROL DEL SISTEMA</w:t>
      </w:r>
    </w:p>
    <w:p w14:paraId="749515CB" w14:textId="7CE28168" w:rsidR="0059120D" w:rsidRPr="00F47BB7" w:rsidRDefault="0059120D" w:rsidP="0059120D">
      <w:pPr>
        <w:tabs>
          <w:tab w:val="left" w:pos="709"/>
        </w:tabs>
        <w:jc w:val="both"/>
        <w:rPr>
          <w:rFonts w:ascii="Verdana" w:hAnsi="Verdana" w:cs="Arial"/>
          <w:b/>
          <w:sz w:val="20"/>
          <w:szCs w:val="20"/>
        </w:rPr>
      </w:pPr>
      <w:r w:rsidRPr="00F47BB7">
        <w:rPr>
          <w:rFonts w:ascii="Verdana" w:hAnsi="Verdana" w:cs="Arial"/>
          <w:b/>
          <w:sz w:val="20"/>
          <w:szCs w:val="20"/>
        </w:rPr>
        <w:t xml:space="preserve">Control </w:t>
      </w:r>
      <w:r w:rsidR="00A76E83">
        <w:rPr>
          <w:rFonts w:ascii="Verdana" w:hAnsi="Verdana" w:cs="Arial"/>
          <w:b/>
          <w:sz w:val="20"/>
          <w:szCs w:val="20"/>
        </w:rPr>
        <w:t>i</w:t>
      </w:r>
      <w:r w:rsidRPr="00F47BB7">
        <w:rPr>
          <w:rFonts w:ascii="Verdana" w:hAnsi="Verdana" w:cs="Arial"/>
          <w:b/>
          <w:sz w:val="20"/>
          <w:szCs w:val="20"/>
        </w:rPr>
        <w:t xml:space="preserve">nterno </w:t>
      </w:r>
    </w:p>
    <w:p w14:paraId="1A13D994" w14:textId="40D61A90" w:rsidR="006910A1" w:rsidRPr="00F47BB7" w:rsidRDefault="006910A1" w:rsidP="006910A1">
      <w:pPr>
        <w:spacing w:after="0"/>
        <w:rPr>
          <w:rFonts w:ascii="Verdana" w:hAnsi="Verdana"/>
          <w:sz w:val="20"/>
          <w:szCs w:val="20"/>
        </w:rPr>
      </w:pPr>
      <w:r w:rsidRPr="00F47BB7">
        <w:rPr>
          <w:rFonts w:ascii="Verdana" w:hAnsi="Verdana"/>
          <w:sz w:val="20"/>
          <w:szCs w:val="20"/>
        </w:rPr>
        <w:t>3.9.2.2</w:t>
      </w:r>
      <w:r w:rsidR="00E6512F" w:rsidRPr="00F47BB7">
        <w:rPr>
          <w:rFonts w:ascii="Verdana" w:hAnsi="Verdana"/>
          <w:sz w:val="20"/>
          <w:szCs w:val="20"/>
        </w:rPr>
        <w:t>4</w:t>
      </w:r>
    </w:p>
    <w:p w14:paraId="2D59BB34" w14:textId="0A13BE18" w:rsidR="0059120D" w:rsidRPr="00F47BB7" w:rsidRDefault="0059120D" w:rsidP="14528289">
      <w:pPr>
        <w:suppressAutoHyphens/>
        <w:jc w:val="both"/>
        <w:rPr>
          <w:rFonts w:ascii="Verdana" w:hAnsi="Verdana" w:cs="Arial"/>
          <w:sz w:val="20"/>
          <w:szCs w:val="20"/>
        </w:rPr>
      </w:pPr>
      <w:r w:rsidRPr="00F47BB7">
        <w:rPr>
          <w:rFonts w:ascii="Verdana" w:hAnsi="Verdana" w:cs="Arial"/>
          <w:sz w:val="20"/>
          <w:szCs w:val="20"/>
        </w:rPr>
        <w:t>Es deber de los órganos de dirección, administración y control interno de las entidades supervisar cuidadosamente el funcionamiento del sistema de administración de BRDPS. Para el efecto, deben quedar claramente asignadas las responsabilidades de control dentro de estos organismos.</w:t>
      </w:r>
    </w:p>
    <w:p w14:paraId="0B9D879D" w14:textId="385D9BE6" w:rsidR="00BB4789" w:rsidRPr="00F47BB7" w:rsidRDefault="00BB4789" w:rsidP="00BB4789">
      <w:pPr>
        <w:spacing w:after="0"/>
        <w:rPr>
          <w:rFonts w:ascii="Verdana" w:hAnsi="Verdana"/>
          <w:sz w:val="20"/>
          <w:szCs w:val="20"/>
        </w:rPr>
      </w:pPr>
      <w:r w:rsidRPr="00F47BB7">
        <w:rPr>
          <w:rFonts w:ascii="Verdana" w:hAnsi="Verdana"/>
          <w:sz w:val="20"/>
          <w:szCs w:val="20"/>
        </w:rPr>
        <w:t>3.9.2.2</w:t>
      </w:r>
      <w:r w:rsidR="00E6512F" w:rsidRPr="00F47BB7">
        <w:rPr>
          <w:rFonts w:ascii="Verdana" w:hAnsi="Verdana"/>
          <w:sz w:val="20"/>
          <w:szCs w:val="20"/>
        </w:rPr>
        <w:t>5</w:t>
      </w:r>
    </w:p>
    <w:p w14:paraId="5DFF8715" w14:textId="77777777"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La relación de funcionarios y áreas responsables debe estar a disposición de la Superintendencia Financiera de Colombia.</w:t>
      </w:r>
    </w:p>
    <w:p w14:paraId="009826CA" w14:textId="339495AB" w:rsidR="0059120D" w:rsidRPr="00F47BB7" w:rsidRDefault="0059120D" w:rsidP="0059120D">
      <w:pPr>
        <w:suppressAutoHyphens/>
        <w:jc w:val="both"/>
        <w:rPr>
          <w:rFonts w:ascii="Verdana" w:hAnsi="Verdana" w:cs="Arial"/>
          <w:b/>
          <w:sz w:val="20"/>
          <w:szCs w:val="20"/>
        </w:rPr>
      </w:pPr>
      <w:r w:rsidRPr="00F47BB7">
        <w:rPr>
          <w:rFonts w:ascii="Verdana" w:hAnsi="Verdana" w:cs="Arial"/>
          <w:b/>
          <w:sz w:val="20"/>
          <w:szCs w:val="20"/>
        </w:rPr>
        <w:t xml:space="preserve">Responsabilidad del revisor fiscal </w:t>
      </w:r>
    </w:p>
    <w:p w14:paraId="5F6EDFB9" w14:textId="7E6179DB" w:rsidR="00B70191" w:rsidRPr="00F47BB7" w:rsidRDefault="00B70191" w:rsidP="00B70191">
      <w:pPr>
        <w:spacing w:after="0"/>
        <w:rPr>
          <w:rFonts w:ascii="Verdana" w:hAnsi="Verdana"/>
          <w:sz w:val="20"/>
          <w:szCs w:val="20"/>
        </w:rPr>
      </w:pPr>
      <w:r w:rsidRPr="00F47BB7">
        <w:rPr>
          <w:rFonts w:ascii="Verdana" w:hAnsi="Verdana"/>
          <w:sz w:val="20"/>
          <w:szCs w:val="20"/>
        </w:rPr>
        <w:t>3.9.2.</w:t>
      </w:r>
      <w:r w:rsidR="00BB5176" w:rsidRPr="00F47BB7">
        <w:rPr>
          <w:rFonts w:ascii="Verdana" w:hAnsi="Verdana"/>
          <w:sz w:val="20"/>
          <w:szCs w:val="20"/>
        </w:rPr>
        <w:t>2</w:t>
      </w:r>
      <w:r w:rsidR="00E6512F" w:rsidRPr="00F47BB7">
        <w:rPr>
          <w:rFonts w:ascii="Verdana" w:hAnsi="Verdana"/>
          <w:sz w:val="20"/>
          <w:szCs w:val="20"/>
        </w:rPr>
        <w:t>6</w:t>
      </w:r>
    </w:p>
    <w:p w14:paraId="7D7DD864" w14:textId="517D04DD" w:rsidR="003E77C2" w:rsidRPr="00A76E83" w:rsidRDefault="0059120D" w:rsidP="00A76E83">
      <w:pPr>
        <w:suppressAutoHyphens/>
        <w:jc w:val="both"/>
        <w:rPr>
          <w:rFonts w:ascii="Verdana" w:hAnsi="Verdana" w:cs="Arial"/>
          <w:sz w:val="20"/>
          <w:szCs w:val="20"/>
        </w:rPr>
      </w:pPr>
      <w:r w:rsidRPr="00F47BB7">
        <w:rPr>
          <w:rFonts w:ascii="Verdana" w:hAnsi="Verdana" w:cs="Arial"/>
          <w:sz w:val="20"/>
          <w:szCs w:val="20"/>
        </w:rPr>
        <w:t>En desarrollo de las funciones propias del revisor fiscal, corresponde a éste verificar el estricto cumplimiento de lo dispuesto en el presente capítulo, debiendo incluir pronunciamiento expreso sobre el particular dentro del dictamen que rinda respecto de los estados financieros. Así mismo, en desarrollo de lo dispuesto en los numerales 3 y 5 del artículo 207 del Código de Comercio, el revisor fiscal debe informar de manera oportuna y permanente a la Superintendencia Financiera de Colombia las irregularidades que en la aplicación del presente instructivo advierta en el ejercicio de sus labores, cuando las mismas sean materiales.</w:t>
      </w:r>
    </w:p>
    <w:p w14:paraId="5EEAE580" w14:textId="5970AF1A" w:rsidR="0059120D" w:rsidRPr="00A76E83" w:rsidRDefault="00A76E83" w:rsidP="0059120D">
      <w:pPr>
        <w:jc w:val="both"/>
        <w:rPr>
          <w:rFonts w:ascii="Verdana" w:hAnsi="Verdana" w:cs="Arial"/>
          <w:b/>
          <w:sz w:val="20"/>
          <w:szCs w:val="20"/>
        </w:rPr>
      </w:pPr>
      <w:r w:rsidRPr="00F47BB7">
        <w:rPr>
          <w:rFonts w:ascii="Verdana" w:hAnsi="Verdana" w:cs="Arial"/>
          <w:b/>
          <w:sz w:val="20"/>
          <w:szCs w:val="20"/>
        </w:rPr>
        <w:t>REGLAS SOBRE LA CONTABILIZACIÓN DE LOS BRDP</w:t>
      </w:r>
    </w:p>
    <w:p w14:paraId="0517DD03" w14:textId="1E25B97C" w:rsidR="0059120D" w:rsidRPr="00F47BB7" w:rsidRDefault="0059120D" w:rsidP="0059120D">
      <w:pPr>
        <w:jc w:val="both"/>
        <w:rPr>
          <w:rFonts w:ascii="Verdana" w:hAnsi="Verdana" w:cs="Arial"/>
          <w:b/>
          <w:bCs/>
          <w:sz w:val="20"/>
          <w:szCs w:val="20"/>
        </w:rPr>
      </w:pPr>
      <w:r w:rsidRPr="00F47BB7">
        <w:rPr>
          <w:rFonts w:ascii="Verdana" w:hAnsi="Verdana" w:cs="Arial"/>
          <w:b/>
          <w:bCs/>
          <w:sz w:val="20"/>
          <w:szCs w:val="20"/>
        </w:rPr>
        <w:t>Reconocimiento inicial y posterior</w:t>
      </w:r>
    </w:p>
    <w:p w14:paraId="55F1ADDC" w14:textId="2BD1E427" w:rsidR="003E77C2" w:rsidRPr="00F47BB7" w:rsidRDefault="003E77C2" w:rsidP="003E77C2">
      <w:pPr>
        <w:spacing w:after="0"/>
        <w:rPr>
          <w:rFonts w:ascii="Verdana" w:hAnsi="Verdana"/>
          <w:sz w:val="20"/>
          <w:szCs w:val="20"/>
        </w:rPr>
      </w:pPr>
      <w:r w:rsidRPr="00F47BB7">
        <w:rPr>
          <w:rFonts w:ascii="Verdana" w:hAnsi="Verdana"/>
          <w:sz w:val="20"/>
          <w:szCs w:val="20"/>
        </w:rPr>
        <w:t>3.9.2.2</w:t>
      </w:r>
      <w:r w:rsidR="00E6512F" w:rsidRPr="00F47BB7">
        <w:rPr>
          <w:rFonts w:ascii="Verdana" w:hAnsi="Verdana"/>
          <w:sz w:val="20"/>
          <w:szCs w:val="20"/>
        </w:rPr>
        <w:t>7</w:t>
      </w:r>
    </w:p>
    <w:p w14:paraId="56BBE3BF" w14:textId="57BF5119" w:rsidR="0059120D" w:rsidRPr="00F47BB7" w:rsidRDefault="0059120D" w:rsidP="0059120D">
      <w:pPr>
        <w:jc w:val="both"/>
        <w:rPr>
          <w:rFonts w:ascii="Verdana" w:hAnsi="Verdana" w:cs="Arial"/>
          <w:sz w:val="20"/>
          <w:szCs w:val="20"/>
        </w:rPr>
      </w:pPr>
      <w:r w:rsidRPr="00F47BB7">
        <w:rPr>
          <w:rFonts w:ascii="Verdana" w:hAnsi="Verdana" w:cs="Arial"/>
          <w:sz w:val="20"/>
          <w:szCs w:val="20"/>
        </w:rPr>
        <w:t xml:space="preserve">En consideración de las </w:t>
      </w:r>
      <w:r w:rsidR="007105A8">
        <w:rPr>
          <w:rFonts w:ascii="Verdana" w:hAnsi="Verdana" w:cs="Arial"/>
          <w:sz w:val="20"/>
          <w:szCs w:val="20"/>
        </w:rPr>
        <w:t>disposiciones de</w:t>
      </w:r>
      <w:r w:rsidR="003370AE">
        <w:rPr>
          <w:rFonts w:ascii="Verdana" w:hAnsi="Verdana" w:cs="Arial"/>
          <w:sz w:val="20"/>
          <w:szCs w:val="20"/>
        </w:rPr>
        <w:t xml:space="preserve"> orden </w:t>
      </w:r>
      <w:r w:rsidR="007105A8">
        <w:rPr>
          <w:rFonts w:ascii="Verdana" w:hAnsi="Verdana" w:cs="Arial"/>
          <w:sz w:val="20"/>
          <w:szCs w:val="20"/>
        </w:rPr>
        <w:t>l</w:t>
      </w:r>
      <w:r w:rsidR="003370AE">
        <w:rPr>
          <w:rFonts w:ascii="Verdana" w:hAnsi="Verdana" w:cs="Arial"/>
          <w:sz w:val="20"/>
          <w:szCs w:val="20"/>
        </w:rPr>
        <w:t>egal</w:t>
      </w:r>
      <w:r w:rsidR="007105A8">
        <w:rPr>
          <w:rFonts w:ascii="Verdana" w:hAnsi="Verdana" w:cs="Arial"/>
          <w:sz w:val="20"/>
          <w:szCs w:val="20"/>
        </w:rPr>
        <w:t xml:space="preserve"> </w:t>
      </w:r>
      <w:r w:rsidR="003370AE">
        <w:rPr>
          <w:rFonts w:ascii="Verdana" w:hAnsi="Verdana" w:cs="Arial"/>
          <w:sz w:val="20"/>
          <w:szCs w:val="20"/>
        </w:rPr>
        <w:t xml:space="preserve">del </w:t>
      </w:r>
      <w:r w:rsidR="007105A8">
        <w:rPr>
          <w:rFonts w:ascii="Verdana" w:hAnsi="Verdana" w:cs="Arial"/>
          <w:sz w:val="20"/>
          <w:szCs w:val="20"/>
        </w:rPr>
        <w:t xml:space="preserve">EOSF </w:t>
      </w:r>
      <w:r w:rsidRPr="00F47BB7">
        <w:rPr>
          <w:rFonts w:ascii="Verdana" w:hAnsi="Verdana" w:cs="Arial"/>
          <w:sz w:val="20"/>
          <w:szCs w:val="20"/>
        </w:rPr>
        <w:t>para las inversiones de las entidades vigiladas</w:t>
      </w:r>
      <w:r w:rsidR="009E3D08">
        <w:rPr>
          <w:rFonts w:ascii="Verdana" w:hAnsi="Verdana" w:cs="Arial"/>
          <w:sz w:val="20"/>
          <w:szCs w:val="20"/>
        </w:rPr>
        <w:t xml:space="preserve">, así como </w:t>
      </w:r>
      <w:r w:rsidR="00EB12A8">
        <w:rPr>
          <w:rFonts w:ascii="Verdana" w:hAnsi="Verdana" w:cs="Arial"/>
          <w:sz w:val="20"/>
          <w:szCs w:val="20"/>
        </w:rPr>
        <w:t xml:space="preserve">para la tenencia y </w:t>
      </w:r>
      <w:r w:rsidR="009E3D08">
        <w:rPr>
          <w:rFonts w:ascii="Verdana" w:hAnsi="Verdana" w:cs="Arial"/>
          <w:sz w:val="20"/>
          <w:szCs w:val="20"/>
        </w:rPr>
        <w:t xml:space="preserve">plazo </w:t>
      </w:r>
      <w:r w:rsidR="003370AE">
        <w:rPr>
          <w:rFonts w:ascii="Verdana" w:hAnsi="Verdana" w:cs="Arial"/>
          <w:sz w:val="20"/>
          <w:szCs w:val="20"/>
        </w:rPr>
        <w:t xml:space="preserve">de </w:t>
      </w:r>
      <w:r w:rsidRPr="00F47BB7">
        <w:rPr>
          <w:rFonts w:ascii="Verdana" w:hAnsi="Verdana" w:cs="Arial"/>
          <w:sz w:val="20"/>
          <w:szCs w:val="20"/>
        </w:rPr>
        <w:t xml:space="preserve">venta de los BRDP previstas en el EOSF, los BRDP se deben reconocer contablemente </w:t>
      </w:r>
      <w:r w:rsidR="002357BB">
        <w:rPr>
          <w:rFonts w:ascii="Verdana" w:hAnsi="Verdana" w:cs="Arial"/>
          <w:sz w:val="20"/>
          <w:szCs w:val="20"/>
        </w:rPr>
        <w:t>por e</w:t>
      </w:r>
      <w:r w:rsidRPr="00F47BB7">
        <w:rPr>
          <w:rFonts w:ascii="Verdana" w:hAnsi="Verdana" w:cs="Arial"/>
          <w:sz w:val="20"/>
          <w:szCs w:val="20"/>
        </w:rPr>
        <w:t xml:space="preserve">l valor al cual se </w:t>
      </w:r>
      <w:r w:rsidR="0041502E">
        <w:rPr>
          <w:rFonts w:ascii="Verdana" w:hAnsi="Verdana" w:cs="Arial"/>
          <w:sz w:val="20"/>
          <w:szCs w:val="20"/>
        </w:rPr>
        <w:t xml:space="preserve">haya </w:t>
      </w:r>
      <w:r w:rsidRPr="00F47BB7">
        <w:rPr>
          <w:rFonts w:ascii="Verdana" w:hAnsi="Verdana" w:cs="Arial"/>
          <w:sz w:val="20"/>
          <w:szCs w:val="20"/>
        </w:rPr>
        <w:t>ejecut</w:t>
      </w:r>
      <w:r w:rsidR="0041502E">
        <w:rPr>
          <w:rFonts w:ascii="Verdana" w:hAnsi="Verdana" w:cs="Arial"/>
          <w:sz w:val="20"/>
          <w:szCs w:val="20"/>
        </w:rPr>
        <w:t xml:space="preserve">ado </w:t>
      </w:r>
      <w:r w:rsidRPr="00F47BB7">
        <w:rPr>
          <w:rFonts w:ascii="Verdana" w:hAnsi="Verdana" w:cs="Arial"/>
          <w:sz w:val="20"/>
          <w:szCs w:val="20"/>
        </w:rPr>
        <w:t xml:space="preserve">la dación en pago, por el valor de la restitución, o por el valor de la adjudicación judicial, según el caso. El valor posterior corresponde al valor del reconocimiento inicial ajustado </w:t>
      </w:r>
      <w:r w:rsidR="00AF6DC1">
        <w:rPr>
          <w:rFonts w:ascii="Verdana" w:hAnsi="Verdana" w:cs="Arial"/>
          <w:sz w:val="20"/>
          <w:szCs w:val="20"/>
        </w:rPr>
        <w:t xml:space="preserve">por el valor de </w:t>
      </w:r>
      <w:r w:rsidRPr="00F47BB7">
        <w:rPr>
          <w:rFonts w:ascii="Verdana" w:hAnsi="Verdana" w:cs="Arial"/>
          <w:sz w:val="20"/>
          <w:szCs w:val="20"/>
        </w:rPr>
        <w:t xml:space="preserve">las </w:t>
      </w:r>
      <w:r w:rsidRPr="00636D77">
        <w:rPr>
          <w:rFonts w:ascii="Verdana" w:hAnsi="Verdana" w:cs="Arial"/>
          <w:sz w:val="20"/>
          <w:szCs w:val="20"/>
        </w:rPr>
        <w:t>provisiones establecidas en</w:t>
      </w:r>
      <w:r w:rsidR="00636D77" w:rsidRPr="00636D77">
        <w:rPr>
          <w:rFonts w:ascii="Verdana" w:hAnsi="Verdana" w:cs="Arial"/>
          <w:sz w:val="20"/>
          <w:szCs w:val="20"/>
        </w:rPr>
        <w:t>tre</w:t>
      </w:r>
      <w:r w:rsidRPr="00636D77">
        <w:rPr>
          <w:rFonts w:ascii="Verdana" w:hAnsi="Verdana" w:cs="Arial"/>
          <w:sz w:val="20"/>
          <w:szCs w:val="20"/>
        </w:rPr>
        <w:t xml:space="preserve"> </w:t>
      </w:r>
      <w:r w:rsidR="00213DC6" w:rsidRPr="00636D77">
        <w:rPr>
          <w:rFonts w:ascii="Verdana" w:hAnsi="Verdana" w:cs="Arial"/>
          <w:sz w:val="20"/>
          <w:szCs w:val="20"/>
        </w:rPr>
        <w:t xml:space="preserve">los </w:t>
      </w:r>
      <w:r w:rsidR="006C6132" w:rsidRPr="00636D77">
        <w:rPr>
          <w:rFonts w:ascii="Verdana" w:hAnsi="Verdana" w:cs="Arial"/>
          <w:sz w:val="20"/>
          <w:szCs w:val="20"/>
        </w:rPr>
        <w:t xml:space="preserve">párrafos </w:t>
      </w:r>
      <w:r w:rsidR="006C2420" w:rsidRPr="00636D77">
        <w:rPr>
          <w:rFonts w:ascii="Verdana" w:hAnsi="Verdana" w:cs="Arial"/>
          <w:sz w:val="20"/>
          <w:szCs w:val="20"/>
        </w:rPr>
        <w:t>3.</w:t>
      </w:r>
      <w:r w:rsidR="009232EA">
        <w:rPr>
          <w:rFonts w:ascii="Verdana" w:hAnsi="Verdana" w:cs="Arial"/>
          <w:sz w:val="20"/>
          <w:szCs w:val="20"/>
        </w:rPr>
        <w:t>9</w:t>
      </w:r>
      <w:r w:rsidR="006C2420" w:rsidRPr="00636D77">
        <w:rPr>
          <w:rFonts w:ascii="Verdana" w:hAnsi="Verdana" w:cs="Arial"/>
          <w:sz w:val="20"/>
          <w:szCs w:val="20"/>
        </w:rPr>
        <w:t>.2.</w:t>
      </w:r>
      <w:r w:rsidR="00D938BD" w:rsidRPr="00636D77">
        <w:rPr>
          <w:rFonts w:ascii="Verdana" w:hAnsi="Verdana" w:cs="Arial"/>
          <w:sz w:val="20"/>
          <w:szCs w:val="20"/>
        </w:rPr>
        <w:t xml:space="preserve">10 </w:t>
      </w:r>
      <w:r w:rsidR="00636D77" w:rsidRPr="00636D77">
        <w:rPr>
          <w:rFonts w:ascii="Verdana" w:hAnsi="Verdana" w:cs="Arial"/>
          <w:sz w:val="20"/>
          <w:szCs w:val="20"/>
        </w:rPr>
        <w:t>y</w:t>
      </w:r>
      <w:r w:rsidR="006C2420" w:rsidRPr="00636D77">
        <w:rPr>
          <w:rFonts w:ascii="Verdana" w:hAnsi="Verdana" w:cs="Arial"/>
          <w:sz w:val="20"/>
          <w:szCs w:val="20"/>
        </w:rPr>
        <w:t xml:space="preserve"> 3.9.2.</w:t>
      </w:r>
      <w:r w:rsidR="00D938BD" w:rsidRPr="00636D77">
        <w:rPr>
          <w:rFonts w:ascii="Verdana" w:hAnsi="Verdana" w:cs="Arial"/>
          <w:sz w:val="20"/>
          <w:szCs w:val="20"/>
        </w:rPr>
        <w:t>20</w:t>
      </w:r>
      <w:r w:rsidR="006C2420" w:rsidRPr="00636D77">
        <w:rPr>
          <w:rFonts w:ascii="Verdana" w:hAnsi="Verdana" w:cs="Arial"/>
          <w:sz w:val="20"/>
          <w:szCs w:val="20"/>
        </w:rPr>
        <w:t xml:space="preserve">. </w:t>
      </w:r>
      <w:r w:rsidRPr="00636D77">
        <w:rPr>
          <w:rFonts w:ascii="Verdana" w:hAnsi="Verdana" w:cs="Arial"/>
          <w:sz w:val="20"/>
          <w:szCs w:val="20"/>
        </w:rPr>
        <w:t>del presente capítulo.</w:t>
      </w:r>
      <w:r w:rsidRPr="00F47BB7">
        <w:rPr>
          <w:rFonts w:ascii="Verdana" w:hAnsi="Verdana" w:cs="Arial"/>
          <w:sz w:val="20"/>
          <w:szCs w:val="20"/>
        </w:rPr>
        <w:t xml:space="preserve"> </w:t>
      </w:r>
    </w:p>
    <w:p w14:paraId="011CEF8E" w14:textId="208B52D4" w:rsidR="0059120D" w:rsidRPr="00F47BB7" w:rsidRDefault="0059120D" w:rsidP="0059120D">
      <w:pPr>
        <w:jc w:val="both"/>
        <w:rPr>
          <w:rFonts w:ascii="Verdana" w:hAnsi="Verdana" w:cs="Arial"/>
          <w:b/>
          <w:bCs/>
          <w:sz w:val="20"/>
          <w:szCs w:val="20"/>
        </w:rPr>
      </w:pPr>
      <w:r w:rsidRPr="00F47BB7">
        <w:rPr>
          <w:rFonts w:ascii="Verdana" w:hAnsi="Verdana" w:cs="Arial"/>
          <w:b/>
          <w:bCs/>
          <w:sz w:val="20"/>
          <w:szCs w:val="20"/>
        </w:rPr>
        <w:t>Reconocimiento de las mejoras</w:t>
      </w:r>
    </w:p>
    <w:p w14:paraId="1BF55BD2" w14:textId="57670BE9" w:rsidR="00576CC2" w:rsidRPr="00F47BB7" w:rsidRDefault="00576CC2" w:rsidP="00576CC2">
      <w:pPr>
        <w:spacing w:after="0"/>
        <w:rPr>
          <w:rFonts w:ascii="Verdana" w:hAnsi="Verdana"/>
          <w:sz w:val="20"/>
          <w:szCs w:val="20"/>
        </w:rPr>
      </w:pPr>
      <w:r w:rsidRPr="00F47BB7">
        <w:rPr>
          <w:rFonts w:ascii="Verdana" w:hAnsi="Verdana"/>
          <w:sz w:val="20"/>
          <w:szCs w:val="20"/>
        </w:rPr>
        <w:t>3.9.2.</w:t>
      </w:r>
      <w:r w:rsidR="00DD40D2" w:rsidRPr="00F47BB7">
        <w:rPr>
          <w:rFonts w:ascii="Verdana" w:hAnsi="Verdana"/>
          <w:sz w:val="20"/>
          <w:szCs w:val="20"/>
        </w:rPr>
        <w:t>2</w:t>
      </w:r>
      <w:r w:rsidR="00E6512F" w:rsidRPr="00F47BB7">
        <w:rPr>
          <w:rFonts w:ascii="Verdana" w:hAnsi="Verdana"/>
          <w:sz w:val="20"/>
          <w:szCs w:val="20"/>
        </w:rPr>
        <w:t>8</w:t>
      </w:r>
    </w:p>
    <w:p w14:paraId="0FB44367" w14:textId="4DA7201D" w:rsidR="0059120D" w:rsidRPr="00F47BB7" w:rsidRDefault="0059120D" w:rsidP="14528289">
      <w:pPr>
        <w:jc w:val="both"/>
        <w:rPr>
          <w:rFonts w:ascii="Verdana" w:hAnsi="Verdana" w:cs="Arial"/>
          <w:sz w:val="20"/>
          <w:szCs w:val="20"/>
        </w:rPr>
      </w:pPr>
      <w:r w:rsidRPr="00F47BB7">
        <w:rPr>
          <w:rFonts w:ascii="Verdana" w:hAnsi="Verdana" w:cs="Arial"/>
          <w:sz w:val="20"/>
          <w:szCs w:val="20"/>
        </w:rPr>
        <w:t xml:space="preserve">Las entidades deben establecer políticas uniformes y con sustento técnico para efectos de reconocer como mayor valor de los BRDP las erogaciones por concepto de mejoras. En este sentido, se debe realizar un análisis que permita reconocer la realidad económica de la erogación de forma tal que los gastos por mantenimiento se reconozcan con cargo al estado de resultados, y no como mayor valor del activo. </w:t>
      </w:r>
    </w:p>
    <w:p w14:paraId="07EBFDF2" w14:textId="2937F475" w:rsidR="0059120D" w:rsidRPr="00F47BB7" w:rsidRDefault="00A76E83" w:rsidP="0059120D">
      <w:pPr>
        <w:jc w:val="both"/>
        <w:rPr>
          <w:rFonts w:ascii="Verdana" w:hAnsi="Verdana" w:cs="Arial"/>
          <w:b/>
          <w:sz w:val="20"/>
          <w:szCs w:val="20"/>
        </w:rPr>
      </w:pPr>
      <w:r w:rsidRPr="00F47BB7">
        <w:rPr>
          <w:rFonts w:ascii="Verdana" w:hAnsi="Verdana" w:cs="Arial"/>
          <w:b/>
          <w:sz w:val="20"/>
          <w:szCs w:val="20"/>
        </w:rPr>
        <w:t xml:space="preserve">REGLAS EN MATERIA DE AVALÚOS </w:t>
      </w:r>
    </w:p>
    <w:p w14:paraId="2EA457EE" w14:textId="7E187D2F" w:rsidR="003D3CFD" w:rsidRPr="00F47BB7" w:rsidRDefault="003D3CFD" w:rsidP="003D3CFD">
      <w:pPr>
        <w:spacing w:after="0"/>
        <w:rPr>
          <w:rFonts w:ascii="Verdana" w:hAnsi="Verdana"/>
          <w:sz w:val="20"/>
          <w:szCs w:val="20"/>
        </w:rPr>
      </w:pPr>
      <w:r w:rsidRPr="00F47BB7">
        <w:rPr>
          <w:rFonts w:ascii="Verdana" w:hAnsi="Verdana"/>
          <w:sz w:val="20"/>
          <w:szCs w:val="20"/>
        </w:rPr>
        <w:t>3.9.2.</w:t>
      </w:r>
      <w:r w:rsidR="00DD40D2" w:rsidRPr="00F47BB7">
        <w:rPr>
          <w:rFonts w:ascii="Verdana" w:hAnsi="Verdana"/>
          <w:sz w:val="20"/>
          <w:szCs w:val="20"/>
        </w:rPr>
        <w:t>2</w:t>
      </w:r>
      <w:r w:rsidR="00E6512F" w:rsidRPr="00F47BB7">
        <w:rPr>
          <w:rFonts w:ascii="Verdana" w:hAnsi="Verdana"/>
          <w:sz w:val="20"/>
          <w:szCs w:val="20"/>
        </w:rPr>
        <w:t>9</w:t>
      </w:r>
    </w:p>
    <w:p w14:paraId="75D8CB8A" w14:textId="701F3783" w:rsidR="0059120D" w:rsidRPr="00F47BB7" w:rsidRDefault="00693262" w:rsidP="00693262">
      <w:pPr>
        <w:spacing w:after="0"/>
        <w:jc w:val="both"/>
        <w:rPr>
          <w:rFonts w:ascii="Verdana" w:hAnsi="Verdana" w:cs="Arial"/>
          <w:sz w:val="20"/>
          <w:szCs w:val="20"/>
        </w:rPr>
      </w:pPr>
      <w:r w:rsidRPr="00F47BB7">
        <w:rPr>
          <w:rFonts w:ascii="Verdana" w:hAnsi="Verdana"/>
          <w:sz w:val="20"/>
          <w:szCs w:val="20"/>
        </w:rPr>
        <w:t>Para efectos de la realización de avalúos, las entidades vigiladas deben observar los criterios y contenidos mínimos establecidos en el Decreto 1074 de 2015 y en las demás normas que lo modifiquen o sustituyan. En todos los casos, los avalúos técnicos que se utilicen por parte de las entidades vigiladas</w:t>
      </w:r>
      <w:r w:rsidR="000C61C7">
        <w:rPr>
          <w:rFonts w:ascii="Verdana" w:hAnsi="Verdana"/>
          <w:sz w:val="20"/>
          <w:szCs w:val="20"/>
        </w:rPr>
        <w:t xml:space="preserve"> deben mantenerse actualizados y</w:t>
      </w:r>
      <w:r w:rsidRPr="00F47BB7">
        <w:rPr>
          <w:rFonts w:ascii="Verdana" w:hAnsi="Verdana"/>
          <w:sz w:val="20"/>
          <w:szCs w:val="20"/>
        </w:rPr>
        <w:t xml:space="preserve"> no pueden tener una antigüedad (fecha de elaboración) superior a 3 años contados a partir del cierre contable en el cual se pretenda utilizar.</w:t>
      </w:r>
    </w:p>
    <w:p w14:paraId="19056B51" w14:textId="77777777" w:rsidR="00844A61" w:rsidRDefault="00844A61" w:rsidP="00844A61">
      <w:pPr>
        <w:suppressAutoHyphens/>
        <w:jc w:val="both"/>
        <w:rPr>
          <w:rFonts w:ascii="Verdana" w:hAnsi="Verdana" w:cs="Arial"/>
          <w:b/>
          <w:sz w:val="20"/>
          <w:szCs w:val="20"/>
        </w:rPr>
      </w:pPr>
    </w:p>
    <w:p w14:paraId="1C8CB85A" w14:textId="3BED52F1" w:rsidR="0059120D" w:rsidRPr="00F47BB7" w:rsidRDefault="00A76E83" w:rsidP="00844A61">
      <w:pPr>
        <w:suppressAutoHyphens/>
        <w:jc w:val="both"/>
        <w:rPr>
          <w:rFonts w:ascii="Verdana" w:hAnsi="Verdana" w:cs="Arial"/>
          <w:sz w:val="20"/>
          <w:szCs w:val="20"/>
        </w:rPr>
      </w:pPr>
      <w:r w:rsidRPr="00F47BB7">
        <w:rPr>
          <w:rFonts w:ascii="Verdana" w:hAnsi="Verdana" w:cs="Arial"/>
          <w:b/>
          <w:sz w:val="20"/>
          <w:szCs w:val="20"/>
        </w:rPr>
        <w:t>REGLAS RELATIVAS AL PLAZO LEGAL PARA LA VENTA DE LOS BIENES</w:t>
      </w:r>
    </w:p>
    <w:p w14:paraId="6F8F34AF" w14:textId="72103178" w:rsidR="0059120D" w:rsidRDefault="0059120D" w:rsidP="00A76E83">
      <w:pPr>
        <w:spacing w:after="0" w:line="240" w:lineRule="auto"/>
        <w:jc w:val="both"/>
        <w:rPr>
          <w:rFonts w:ascii="Verdana" w:hAnsi="Verdana" w:cs="Arial"/>
          <w:b/>
          <w:sz w:val="20"/>
          <w:szCs w:val="20"/>
        </w:rPr>
      </w:pPr>
      <w:r w:rsidRPr="00F47BB7">
        <w:rPr>
          <w:rFonts w:ascii="Verdana" w:hAnsi="Verdana" w:cs="Arial"/>
          <w:b/>
          <w:sz w:val="20"/>
          <w:szCs w:val="20"/>
        </w:rPr>
        <w:t xml:space="preserve">Plazo para la enajenación </w:t>
      </w:r>
    </w:p>
    <w:p w14:paraId="2124A556" w14:textId="77777777" w:rsidR="00A76E83" w:rsidRPr="00F47BB7" w:rsidRDefault="00A76E83" w:rsidP="00A76E83">
      <w:pPr>
        <w:spacing w:after="0" w:line="240" w:lineRule="auto"/>
        <w:jc w:val="both"/>
        <w:rPr>
          <w:rFonts w:ascii="Verdana" w:hAnsi="Verdana" w:cs="Arial"/>
          <w:b/>
          <w:sz w:val="20"/>
          <w:szCs w:val="20"/>
        </w:rPr>
      </w:pPr>
    </w:p>
    <w:p w14:paraId="511DB00F" w14:textId="2F801BDC" w:rsidR="00D166E5" w:rsidRPr="00F47BB7" w:rsidRDefault="00D166E5" w:rsidP="00D166E5">
      <w:pPr>
        <w:spacing w:after="0"/>
        <w:rPr>
          <w:rFonts w:ascii="Verdana" w:hAnsi="Verdana"/>
          <w:sz w:val="20"/>
          <w:szCs w:val="20"/>
        </w:rPr>
      </w:pPr>
      <w:r w:rsidRPr="00F47BB7">
        <w:rPr>
          <w:rFonts w:ascii="Verdana" w:hAnsi="Verdana"/>
          <w:sz w:val="20"/>
          <w:szCs w:val="20"/>
        </w:rPr>
        <w:t>3.9.2.</w:t>
      </w:r>
      <w:r w:rsidR="00E6512F" w:rsidRPr="00F47BB7">
        <w:rPr>
          <w:rFonts w:ascii="Verdana" w:hAnsi="Verdana"/>
          <w:sz w:val="20"/>
          <w:szCs w:val="20"/>
        </w:rPr>
        <w:t>30</w:t>
      </w:r>
    </w:p>
    <w:p w14:paraId="63E51AED" w14:textId="588AF396" w:rsidR="0059120D" w:rsidRPr="00F47BB7" w:rsidRDefault="0059120D" w:rsidP="0059120D">
      <w:pPr>
        <w:jc w:val="both"/>
        <w:rPr>
          <w:rFonts w:ascii="Verdana" w:hAnsi="Verdana" w:cs="Arial"/>
          <w:sz w:val="20"/>
          <w:szCs w:val="20"/>
        </w:rPr>
      </w:pPr>
      <w:r w:rsidRPr="00F47BB7">
        <w:rPr>
          <w:rFonts w:ascii="Verdana" w:hAnsi="Verdana" w:cs="Arial"/>
          <w:sz w:val="20"/>
          <w:szCs w:val="20"/>
        </w:rPr>
        <w:t xml:space="preserve">Los BRDP deben ser vendidos en los plazos previstos en el numeral 6 del artículo 110 del EOSF. </w:t>
      </w:r>
    </w:p>
    <w:p w14:paraId="7C539CD1" w14:textId="0CA96619" w:rsidR="00A96239" w:rsidRPr="00F47BB7" w:rsidRDefault="00A96239" w:rsidP="00A96239">
      <w:pPr>
        <w:spacing w:after="0"/>
        <w:rPr>
          <w:rFonts w:ascii="Verdana" w:hAnsi="Verdana"/>
          <w:sz w:val="20"/>
          <w:szCs w:val="20"/>
        </w:rPr>
      </w:pPr>
      <w:r w:rsidRPr="00F47BB7">
        <w:rPr>
          <w:rFonts w:ascii="Verdana" w:hAnsi="Verdana"/>
          <w:sz w:val="20"/>
          <w:szCs w:val="20"/>
        </w:rPr>
        <w:t>3.9.2.</w:t>
      </w:r>
      <w:r w:rsidR="00E6512F" w:rsidRPr="00F47BB7">
        <w:rPr>
          <w:rFonts w:ascii="Verdana" w:hAnsi="Verdana"/>
          <w:sz w:val="20"/>
          <w:szCs w:val="20"/>
        </w:rPr>
        <w:t>31</w:t>
      </w:r>
    </w:p>
    <w:p w14:paraId="27BD0126" w14:textId="77777777" w:rsidR="0059120D" w:rsidRPr="00F47BB7" w:rsidRDefault="0059120D" w:rsidP="14528289">
      <w:pPr>
        <w:jc w:val="both"/>
        <w:rPr>
          <w:rFonts w:ascii="Verdana" w:hAnsi="Verdana" w:cs="Arial"/>
          <w:sz w:val="20"/>
          <w:szCs w:val="20"/>
        </w:rPr>
      </w:pPr>
      <w:r w:rsidRPr="00F47BB7">
        <w:rPr>
          <w:rFonts w:ascii="Verdana" w:hAnsi="Verdana" w:cs="Arial"/>
          <w:sz w:val="20"/>
          <w:szCs w:val="20"/>
        </w:rPr>
        <w:t>En desarrollo del numeral 6 del artículo 110 del EOSF, los bienes inmuebles recibidos en dación podrán contabilizarse como activos fijos, siempre y cuando: (i) sean necesarios para el giro ordinario de sus negocios, (</w:t>
      </w:r>
      <w:proofErr w:type="spellStart"/>
      <w:r w:rsidRPr="00F47BB7">
        <w:rPr>
          <w:rFonts w:ascii="Verdana" w:hAnsi="Verdana" w:cs="Arial"/>
          <w:sz w:val="20"/>
          <w:szCs w:val="20"/>
        </w:rPr>
        <w:t>ii</w:t>
      </w:r>
      <w:proofErr w:type="spellEnd"/>
      <w:r w:rsidRPr="00F47BB7">
        <w:rPr>
          <w:rFonts w:ascii="Verdana" w:hAnsi="Verdana" w:cs="Arial"/>
          <w:sz w:val="20"/>
          <w:szCs w:val="20"/>
        </w:rPr>
        <w:t xml:space="preserve">) se respeten los límites de inversiones en </w:t>
      </w:r>
      <w:r w:rsidRPr="00F47BB7">
        <w:rPr>
          <w:rFonts w:ascii="Verdana" w:hAnsi="Verdana" w:cs="Arial"/>
          <w:sz w:val="20"/>
          <w:szCs w:val="20"/>
        </w:rPr>
        <w:lastRenderedPageBreak/>
        <w:t>activos fijos, y (</w:t>
      </w:r>
      <w:proofErr w:type="spellStart"/>
      <w:r w:rsidRPr="00F47BB7">
        <w:rPr>
          <w:rFonts w:ascii="Verdana" w:hAnsi="Verdana" w:cs="Arial"/>
          <w:sz w:val="20"/>
          <w:szCs w:val="20"/>
        </w:rPr>
        <w:t>iii</w:t>
      </w:r>
      <w:proofErr w:type="spellEnd"/>
      <w:r w:rsidRPr="00F47BB7">
        <w:rPr>
          <w:rFonts w:ascii="Verdana" w:hAnsi="Verdana" w:cs="Arial"/>
          <w:sz w:val="20"/>
          <w:szCs w:val="20"/>
        </w:rPr>
        <w:t>) la entidad no se encuentre sujeta al régimen de autorización previa, evento en el cual es obligatorio obtener la respectiva autorización.</w:t>
      </w:r>
    </w:p>
    <w:p w14:paraId="25A747E2" w14:textId="37B09641" w:rsidR="00D05FE9" w:rsidRPr="00F47BB7" w:rsidRDefault="00D05FE9" w:rsidP="00D05FE9">
      <w:pPr>
        <w:spacing w:after="0"/>
        <w:rPr>
          <w:rFonts w:ascii="Verdana" w:hAnsi="Verdana"/>
          <w:sz w:val="20"/>
          <w:szCs w:val="20"/>
        </w:rPr>
      </w:pPr>
      <w:r w:rsidRPr="00F47BB7">
        <w:rPr>
          <w:rFonts w:ascii="Verdana" w:hAnsi="Verdana"/>
          <w:sz w:val="20"/>
          <w:szCs w:val="20"/>
        </w:rPr>
        <w:t>3.9.2.</w:t>
      </w:r>
      <w:r w:rsidR="00910454" w:rsidRPr="00F47BB7">
        <w:rPr>
          <w:rFonts w:ascii="Verdana" w:hAnsi="Verdana"/>
          <w:sz w:val="20"/>
          <w:szCs w:val="20"/>
        </w:rPr>
        <w:t>3</w:t>
      </w:r>
      <w:r w:rsidR="00E6512F" w:rsidRPr="00F47BB7">
        <w:rPr>
          <w:rFonts w:ascii="Verdana" w:hAnsi="Verdana"/>
          <w:sz w:val="20"/>
          <w:szCs w:val="20"/>
        </w:rPr>
        <w:t>2</w:t>
      </w:r>
    </w:p>
    <w:p w14:paraId="29290758" w14:textId="77777777"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En el caso de bienes cuya tradición se perfecciona con el registro del título traslaticio de dominio, se entiende que la fecha de adquisición es la de dicho acto y, por lo tanto, el registro contable de la dación se debe efectuar a partir de tal fecha. Para los demás bienes es suficiente con la entrega material.</w:t>
      </w:r>
    </w:p>
    <w:p w14:paraId="1EA4A126" w14:textId="1ED52835" w:rsidR="00D12232" w:rsidRPr="00F47BB7" w:rsidRDefault="00D12232" w:rsidP="00D12232">
      <w:pPr>
        <w:spacing w:after="0"/>
        <w:rPr>
          <w:rFonts w:ascii="Verdana" w:hAnsi="Verdana"/>
          <w:sz w:val="20"/>
          <w:szCs w:val="20"/>
        </w:rPr>
      </w:pPr>
      <w:r w:rsidRPr="00F47BB7">
        <w:rPr>
          <w:rFonts w:ascii="Verdana" w:hAnsi="Verdana"/>
          <w:sz w:val="20"/>
          <w:szCs w:val="20"/>
        </w:rPr>
        <w:t>3.9.2.</w:t>
      </w:r>
      <w:r w:rsidR="00910454" w:rsidRPr="00F47BB7">
        <w:rPr>
          <w:rFonts w:ascii="Verdana" w:hAnsi="Verdana"/>
          <w:sz w:val="20"/>
          <w:szCs w:val="20"/>
        </w:rPr>
        <w:t>3</w:t>
      </w:r>
      <w:r w:rsidR="00E6512F" w:rsidRPr="00F47BB7">
        <w:rPr>
          <w:rFonts w:ascii="Verdana" w:hAnsi="Verdana"/>
          <w:sz w:val="20"/>
          <w:szCs w:val="20"/>
        </w:rPr>
        <w:t>3</w:t>
      </w:r>
    </w:p>
    <w:p w14:paraId="25195DB8" w14:textId="77777777" w:rsidR="0059120D" w:rsidRPr="00F47BB7" w:rsidRDefault="0059120D" w:rsidP="0059120D">
      <w:pPr>
        <w:suppressAutoHyphens/>
        <w:jc w:val="both"/>
        <w:rPr>
          <w:rFonts w:ascii="Verdana" w:hAnsi="Verdana" w:cs="Arial"/>
          <w:sz w:val="20"/>
          <w:szCs w:val="20"/>
        </w:rPr>
      </w:pPr>
      <w:r w:rsidRPr="00F47BB7">
        <w:rPr>
          <w:rFonts w:ascii="Verdana" w:hAnsi="Verdana" w:cs="Arial"/>
          <w:sz w:val="20"/>
          <w:szCs w:val="20"/>
        </w:rPr>
        <w:t>En el caso de bienes restituidos el plazo legal para la venta se cuenta a partir de la entrega material del bien.</w:t>
      </w:r>
    </w:p>
    <w:p w14:paraId="721EBFFD" w14:textId="064030B0" w:rsidR="00B241AF" w:rsidRPr="00F47BB7" w:rsidRDefault="00B241AF" w:rsidP="00E6512F">
      <w:pPr>
        <w:suppressAutoHyphens/>
        <w:jc w:val="both"/>
        <w:rPr>
          <w:rFonts w:ascii="Verdana" w:hAnsi="Verdana" w:cs="Arial"/>
          <w:sz w:val="20"/>
          <w:szCs w:val="20"/>
        </w:rPr>
      </w:pPr>
      <w:r w:rsidRPr="00F47BB7">
        <w:rPr>
          <w:rFonts w:ascii="Verdana" w:hAnsi="Verdana"/>
          <w:sz w:val="20"/>
          <w:szCs w:val="20"/>
        </w:rPr>
        <w:t>3.9.2.3</w:t>
      </w:r>
      <w:r w:rsidR="00E6512F" w:rsidRPr="00F47BB7">
        <w:rPr>
          <w:rFonts w:ascii="Verdana" w:hAnsi="Verdana"/>
          <w:sz w:val="20"/>
          <w:szCs w:val="20"/>
        </w:rPr>
        <w:t>4</w:t>
      </w:r>
    </w:p>
    <w:p w14:paraId="09C880D4" w14:textId="623DF742" w:rsidR="00A76E83" w:rsidRDefault="0059120D" w:rsidP="0059120D">
      <w:pPr>
        <w:suppressAutoHyphens/>
        <w:jc w:val="both"/>
        <w:rPr>
          <w:rFonts w:ascii="Verdana" w:hAnsi="Verdana" w:cs="Arial"/>
          <w:sz w:val="20"/>
          <w:szCs w:val="20"/>
        </w:rPr>
      </w:pPr>
      <w:r w:rsidRPr="00F47BB7">
        <w:rPr>
          <w:rFonts w:ascii="Verdana" w:hAnsi="Verdana" w:cs="Arial"/>
          <w:sz w:val="20"/>
          <w:szCs w:val="20"/>
        </w:rPr>
        <w:t xml:space="preserve">Sin perjuicio de lo señalado anteriormente, la enajenación de las inversiones no autorizadas que realicen las entidades vigiladas en instituciones financieras y entidades </w:t>
      </w:r>
      <w:proofErr w:type="gramStart"/>
      <w:r w:rsidR="0083488F" w:rsidRPr="00F47BB7">
        <w:rPr>
          <w:rFonts w:ascii="Verdana" w:hAnsi="Verdana" w:cs="Arial"/>
          <w:sz w:val="20"/>
          <w:szCs w:val="20"/>
        </w:rPr>
        <w:t>aseguradoras,</w:t>
      </w:r>
      <w:proofErr w:type="gramEnd"/>
      <w:r w:rsidR="0083488F" w:rsidRPr="00F47BB7">
        <w:rPr>
          <w:rFonts w:ascii="Verdana" w:hAnsi="Verdana" w:cs="Arial"/>
          <w:sz w:val="20"/>
          <w:szCs w:val="20"/>
        </w:rPr>
        <w:t xml:space="preserve"> se</w:t>
      </w:r>
      <w:r w:rsidRPr="00F47BB7">
        <w:rPr>
          <w:rFonts w:ascii="Verdana" w:hAnsi="Verdana" w:cs="Arial"/>
          <w:sz w:val="20"/>
          <w:szCs w:val="20"/>
        </w:rPr>
        <w:t xml:space="preserve"> deberá realizar en los plazos previstos en el numeral 4 del artículo 110 del EOSF.</w:t>
      </w:r>
    </w:p>
    <w:p w14:paraId="1244FCB4" w14:textId="6C030274" w:rsidR="0059120D" w:rsidRPr="00F47BB7" w:rsidRDefault="00245E68" w:rsidP="0059120D">
      <w:pPr>
        <w:suppressAutoHyphens/>
        <w:jc w:val="both"/>
        <w:rPr>
          <w:rFonts w:ascii="Verdana" w:hAnsi="Verdana" w:cs="Arial"/>
          <w:b/>
          <w:sz w:val="20"/>
          <w:szCs w:val="20"/>
        </w:rPr>
      </w:pPr>
      <w:r w:rsidRPr="00F47BB7">
        <w:rPr>
          <w:rFonts w:ascii="Verdana" w:hAnsi="Verdana" w:cs="Arial"/>
          <w:b/>
          <w:sz w:val="20"/>
          <w:szCs w:val="20"/>
        </w:rPr>
        <w:t xml:space="preserve">Regla especial aplicable a los patrimonios autónomos administrados por sociedades fiduciarias </w:t>
      </w:r>
    </w:p>
    <w:p w14:paraId="10D68A00" w14:textId="07C3C222" w:rsidR="00245E68" w:rsidRPr="00F47BB7" w:rsidRDefault="00245E68" w:rsidP="00245E68">
      <w:pPr>
        <w:spacing w:after="0"/>
        <w:rPr>
          <w:rFonts w:ascii="Verdana" w:hAnsi="Verdana"/>
          <w:sz w:val="20"/>
          <w:szCs w:val="20"/>
        </w:rPr>
      </w:pPr>
      <w:r w:rsidRPr="00F47BB7">
        <w:rPr>
          <w:rFonts w:ascii="Verdana" w:hAnsi="Verdana"/>
          <w:sz w:val="20"/>
          <w:szCs w:val="20"/>
        </w:rPr>
        <w:t>3.9.2.</w:t>
      </w:r>
      <w:r w:rsidR="00DD5A42" w:rsidRPr="00F47BB7">
        <w:rPr>
          <w:rFonts w:ascii="Verdana" w:hAnsi="Verdana"/>
          <w:sz w:val="20"/>
          <w:szCs w:val="20"/>
        </w:rPr>
        <w:t>3</w:t>
      </w:r>
      <w:r w:rsidR="00E6512F" w:rsidRPr="00F47BB7">
        <w:rPr>
          <w:rFonts w:ascii="Verdana" w:hAnsi="Verdana"/>
          <w:sz w:val="20"/>
          <w:szCs w:val="20"/>
        </w:rPr>
        <w:t>5</w:t>
      </w:r>
    </w:p>
    <w:p w14:paraId="55DD4334" w14:textId="55CFD965" w:rsidR="0059120D" w:rsidRPr="00F47BB7" w:rsidRDefault="00DD5A42" w:rsidP="00A76E83">
      <w:pPr>
        <w:jc w:val="both"/>
        <w:rPr>
          <w:rFonts w:ascii="Verdana" w:hAnsi="Verdana" w:cs="Arial"/>
          <w:sz w:val="20"/>
          <w:szCs w:val="20"/>
        </w:rPr>
      </w:pPr>
      <w:r w:rsidRPr="00F47BB7">
        <w:rPr>
          <w:rFonts w:ascii="Verdana" w:hAnsi="Verdana" w:cs="Arial"/>
          <w:sz w:val="20"/>
          <w:szCs w:val="20"/>
        </w:rPr>
        <w:t xml:space="preserve">La contabilización de los BRDP por parte de patrimonios autónomos administrados por sociedades fiduciarias se rige por </w:t>
      </w:r>
      <w:r w:rsidR="0011367B" w:rsidRPr="00F47BB7">
        <w:rPr>
          <w:rFonts w:ascii="Verdana" w:hAnsi="Verdana" w:cs="Arial"/>
          <w:sz w:val="20"/>
          <w:szCs w:val="20"/>
        </w:rPr>
        <w:t xml:space="preserve">lo </w:t>
      </w:r>
      <w:r w:rsidRPr="00F47BB7">
        <w:rPr>
          <w:rFonts w:ascii="Verdana" w:hAnsi="Verdana" w:cs="Arial"/>
          <w:sz w:val="20"/>
          <w:szCs w:val="20"/>
        </w:rPr>
        <w:t xml:space="preserve">estipulado por el </w:t>
      </w:r>
      <w:r w:rsidRPr="007F6C98">
        <w:rPr>
          <w:rFonts w:ascii="Verdana" w:hAnsi="Verdana" w:cs="Arial"/>
          <w:sz w:val="20"/>
          <w:szCs w:val="20"/>
        </w:rPr>
        <w:t xml:space="preserve">fideicomitente o </w:t>
      </w:r>
      <w:r w:rsidR="009E6D98">
        <w:rPr>
          <w:rFonts w:ascii="Verdana" w:hAnsi="Verdana" w:cs="Arial"/>
          <w:sz w:val="20"/>
          <w:szCs w:val="20"/>
        </w:rPr>
        <w:t>por las instrucciones d</w:t>
      </w:r>
      <w:r w:rsidRPr="007F6C98">
        <w:rPr>
          <w:rFonts w:ascii="Verdana" w:hAnsi="Verdana" w:cs="Arial"/>
          <w:sz w:val="20"/>
          <w:szCs w:val="20"/>
        </w:rPr>
        <w:t xml:space="preserve">el </w:t>
      </w:r>
      <w:r w:rsidR="007F6C98" w:rsidRPr="007F6C98">
        <w:rPr>
          <w:rFonts w:ascii="Verdana" w:hAnsi="Verdana" w:cs="Arial"/>
          <w:sz w:val="20"/>
          <w:szCs w:val="20"/>
        </w:rPr>
        <w:t>c</w:t>
      </w:r>
      <w:r w:rsidRPr="007F6C98">
        <w:rPr>
          <w:rFonts w:ascii="Verdana" w:hAnsi="Verdana" w:cs="Arial"/>
          <w:sz w:val="20"/>
          <w:szCs w:val="20"/>
        </w:rPr>
        <w:t xml:space="preserve">apítulo </w:t>
      </w:r>
      <w:r w:rsidR="007F6C98" w:rsidRPr="007F6C98">
        <w:rPr>
          <w:rFonts w:ascii="Verdana" w:hAnsi="Verdana" w:cs="Arial"/>
          <w:sz w:val="20"/>
          <w:szCs w:val="20"/>
        </w:rPr>
        <w:t xml:space="preserve">12 de la parte 3 de la </w:t>
      </w:r>
      <w:r w:rsidR="00CF2381">
        <w:rPr>
          <w:rFonts w:ascii="Verdana" w:hAnsi="Verdana" w:cs="Arial"/>
          <w:sz w:val="20"/>
          <w:szCs w:val="20"/>
        </w:rPr>
        <w:t>CBF</w:t>
      </w:r>
      <w:r w:rsidRPr="007F6C98">
        <w:rPr>
          <w:rFonts w:ascii="Verdana" w:hAnsi="Verdana" w:cs="Arial"/>
          <w:sz w:val="20"/>
          <w:szCs w:val="20"/>
        </w:rPr>
        <w:t xml:space="preserve">, según el caso. </w:t>
      </w:r>
      <w:r w:rsidR="00390089">
        <w:rPr>
          <w:rFonts w:ascii="Verdana" w:hAnsi="Verdana" w:cs="Arial"/>
          <w:sz w:val="20"/>
          <w:szCs w:val="20"/>
        </w:rPr>
        <w:t>E</w:t>
      </w:r>
      <w:r w:rsidRPr="00F47BB7">
        <w:rPr>
          <w:rFonts w:ascii="Verdana" w:hAnsi="Verdana" w:cs="Arial"/>
          <w:sz w:val="20"/>
          <w:szCs w:val="20"/>
        </w:rPr>
        <w:t xml:space="preserve">n el evento que el fideicomitente o beneficiario sea una entidad vigilada destinataria de las instrucciones del presente </w:t>
      </w:r>
      <w:r w:rsidR="00AD7A8C">
        <w:rPr>
          <w:rFonts w:ascii="Verdana" w:hAnsi="Verdana" w:cs="Arial"/>
          <w:sz w:val="20"/>
          <w:szCs w:val="20"/>
        </w:rPr>
        <w:t>c</w:t>
      </w:r>
      <w:r w:rsidRPr="00F47BB7">
        <w:rPr>
          <w:rFonts w:ascii="Verdana" w:hAnsi="Verdana" w:cs="Arial"/>
          <w:sz w:val="20"/>
          <w:szCs w:val="20"/>
        </w:rPr>
        <w:t xml:space="preserve">apítulo, la contabilidad de los BRDP se </w:t>
      </w:r>
      <w:r w:rsidR="00205648">
        <w:rPr>
          <w:rFonts w:ascii="Verdana" w:hAnsi="Verdana" w:cs="Arial"/>
          <w:sz w:val="20"/>
          <w:szCs w:val="20"/>
        </w:rPr>
        <w:t xml:space="preserve">debe </w:t>
      </w:r>
      <w:r w:rsidRPr="00F47BB7">
        <w:rPr>
          <w:rFonts w:ascii="Verdana" w:hAnsi="Verdana" w:cs="Arial"/>
          <w:sz w:val="20"/>
          <w:szCs w:val="20"/>
        </w:rPr>
        <w:t>r</w:t>
      </w:r>
      <w:r w:rsidR="00205648">
        <w:rPr>
          <w:rFonts w:ascii="Verdana" w:hAnsi="Verdana" w:cs="Arial"/>
          <w:sz w:val="20"/>
          <w:szCs w:val="20"/>
        </w:rPr>
        <w:t>e</w:t>
      </w:r>
      <w:r w:rsidRPr="00F47BB7">
        <w:rPr>
          <w:rFonts w:ascii="Verdana" w:hAnsi="Verdana" w:cs="Arial"/>
          <w:sz w:val="20"/>
          <w:szCs w:val="20"/>
        </w:rPr>
        <w:t>g</w:t>
      </w:r>
      <w:r w:rsidR="00205648">
        <w:rPr>
          <w:rFonts w:ascii="Verdana" w:hAnsi="Verdana" w:cs="Arial"/>
          <w:sz w:val="20"/>
          <w:szCs w:val="20"/>
        </w:rPr>
        <w:t>ir</w:t>
      </w:r>
      <w:r w:rsidRPr="00F47BB7">
        <w:rPr>
          <w:rFonts w:ascii="Verdana" w:hAnsi="Verdana" w:cs="Arial"/>
          <w:sz w:val="20"/>
          <w:szCs w:val="20"/>
        </w:rPr>
        <w:t xml:space="preserve"> por lo previsto en </w:t>
      </w:r>
      <w:r w:rsidR="00033D6C">
        <w:rPr>
          <w:rFonts w:ascii="Verdana" w:hAnsi="Verdana" w:cs="Arial"/>
          <w:sz w:val="20"/>
          <w:szCs w:val="20"/>
        </w:rPr>
        <w:t>las</w:t>
      </w:r>
      <w:r w:rsidRPr="00F47BB7">
        <w:rPr>
          <w:rFonts w:ascii="Verdana" w:hAnsi="Verdana" w:cs="Arial"/>
          <w:sz w:val="20"/>
          <w:szCs w:val="20"/>
        </w:rPr>
        <w:t xml:space="preserve"> disposiciones</w:t>
      </w:r>
      <w:r w:rsidR="00417B42">
        <w:rPr>
          <w:rFonts w:ascii="Verdana" w:hAnsi="Verdana" w:cs="Arial"/>
          <w:sz w:val="20"/>
          <w:szCs w:val="20"/>
        </w:rPr>
        <w:t xml:space="preserve"> del presente capítulo</w:t>
      </w:r>
      <w:r w:rsidRPr="00F47BB7">
        <w:rPr>
          <w:rFonts w:ascii="Verdana" w:hAnsi="Verdana" w:cs="Arial"/>
          <w:sz w:val="20"/>
          <w:szCs w:val="20"/>
        </w:rPr>
        <w:t>.</w:t>
      </w:r>
    </w:p>
    <w:p w14:paraId="24681309" w14:textId="5F5ADB97" w:rsidR="0059120D" w:rsidRPr="00F47BB7" w:rsidRDefault="00C40EB8" w:rsidP="0059120D">
      <w:pPr>
        <w:suppressAutoHyphens/>
        <w:jc w:val="both"/>
        <w:rPr>
          <w:rFonts w:ascii="Verdana" w:hAnsi="Verdana" w:cs="Arial"/>
          <w:b/>
          <w:sz w:val="20"/>
          <w:szCs w:val="20"/>
        </w:rPr>
      </w:pPr>
      <w:r w:rsidRPr="00F47BB7">
        <w:rPr>
          <w:rFonts w:ascii="Verdana" w:hAnsi="Verdana" w:cs="Arial"/>
          <w:b/>
          <w:sz w:val="20"/>
          <w:szCs w:val="20"/>
        </w:rPr>
        <w:t>Regla especial aplicable a los fondos de pensiones obligatorias y a los fondos de cesantías</w:t>
      </w:r>
      <w:r w:rsidR="0059120D" w:rsidRPr="00F47BB7">
        <w:rPr>
          <w:rFonts w:ascii="Verdana" w:hAnsi="Verdana" w:cs="Arial"/>
          <w:b/>
          <w:sz w:val="20"/>
          <w:szCs w:val="20"/>
        </w:rPr>
        <w:t xml:space="preserve"> </w:t>
      </w:r>
    </w:p>
    <w:p w14:paraId="1498A768" w14:textId="4B0102B5" w:rsidR="00C40EB8" w:rsidRPr="00F47BB7" w:rsidRDefault="00C40EB8" w:rsidP="00C40EB8">
      <w:pPr>
        <w:spacing w:after="0"/>
        <w:rPr>
          <w:rFonts w:ascii="Verdana" w:hAnsi="Verdana"/>
          <w:sz w:val="20"/>
          <w:szCs w:val="20"/>
        </w:rPr>
      </w:pPr>
      <w:r w:rsidRPr="00F47BB7">
        <w:rPr>
          <w:rFonts w:ascii="Verdana" w:hAnsi="Verdana"/>
          <w:sz w:val="20"/>
          <w:szCs w:val="20"/>
        </w:rPr>
        <w:t>3.9.2.3</w:t>
      </w:r>
      <w:r w:rsidR="00B14604" w:rsidRPr="00F47BB7">
        <w:rPr>
          <w:rFonts w:ascii="Verdana" w:hAnsi="Verdana"/>
          <w:sz w:val="20"/>
          <w:szCs w:val="20"/>
        </w:rPr>
        <w:t>6</w:t>
      </w:r>
    </w:p>
    <w:p w14:paraId="1F61E5B2" w14:textId="469D0118" w:rsidR="0059120D" w:rsidRPr="00F47BB7" w:rsidRDefault="0059120D" w:rsidP="0059120D">
      <w:pPr>
        <w:jc w:val="both"/>
        <w:rPr>
          <w:rFonts w:ascii="Verdana" w:hAnsi="Verdana" w:cs="Arial"/>
          <w:sz w:val="20"/>
          <w:szCs w:val="20"/>
        </w:rPr>
      </w:pPr>
      <w:r w:rsidRPr="00F47BB7">
        <w:rPr>
          <w:rFonts w:ascii="Verdana" w:hAnsi="Verdana" w:cs="Arial"/>
          <w:sz w:val="20"/>
          <w:szCs w:val="20"/>
        </w:rPr>
        <w:t>Las instrucciones del presente capítulo no se aplican a los fondos de pensiones obligatorias y fondos de cesantías en lo que tiene que ver con el pago de las cotizaciones al sistema general de pensiones y de</w:t>
      </w:r>
      <w:r w:rsidR="008534B0">
        <w:rPr>
          <w:rFonts w:ascii="Verdana" w:hAnsi="Verdana" w:cs="Arial"/>
          <w:sz w:val="20"/>
          <w:szCs w:val="20"/>
        </w:rPr>
        <w:t xml:space="preserve"> </w:t>
      </w:r>
      <w:r w:rsidRPr="00F47BB7">
        <w:rPr>
          <w:rFonts w:ascii="Verdana" w:hAnsi="Verdana" w:cs="Arial"/>
          <w:sz w:val="20"/>
          <w:szCs w:val="20"/>
        </w:rPr>
        <w:t>l</w:t>
      </w:r>
      <w:r w:rsidR="008534B0">
        <w:rPr>
          <w:rFonts w:ascii="Verdana" w:hAnsi="Verdana" w:cs="Arial"/>
          <w:sz w:val="20"/>
          <w:szCs w:val="20"/>
        </w:rPr>
        <w:t>as</w:t>
      </w:r>
      <w:r w:rsidRPr="00F47BB7">
        <w:rPr>
          <w:rFonts w:ascii="Verdana" w:hAnsi="Verdana" w:cs="Arial"/>
          <w:sz w:val="20"/>
          <w:szCs w:val="20"/>
        </w:rPr>
        <w:t xml:space="preserve"> cesantía</w:t>
      </w:r>
      <w:r w:rsidR="008534B0">
        <w:rPr>
          <w:rFonts w:ascii="Verdana" w:hAnsi="Verdana" w:cs="Arial"/>
          <w:sz w:val="20"/>
          <w:szCs w:val="20"/>
        </w:rPr>
        <w:t>s,</w:t>
      </w:r>
      <w:r w:rsidRPr="00F47BB7">
        <w:rPr>
          <w:rFonts w:ascii="Verdana" w:hAnsi="Verdana" w:cs="Arial"/>
          <w:sz w:val="20"/>
          <w:szCs w:val="20"/>
        </w:rPr>
        <w:t xml:space="preserve"> respectivamente.  </w:t>
      </w:r>
    </w:p>
    <w:p w14:paraId="369C6D6E" w14:textId="77777777" w:rsidR="00F47BB7" w:rsidRPr="00F47BB7" w:rsidRDefault="00F47BB7">
      <w:pPr>
        <w:jc w:val="both"/>
        <w:rPr>
          <w:rFonts w:ascii="Verdana" w:hAnsi="Verdana" w:cs="Arial"/>
          <w:sz w:val="20"/>
          <w:szCs w:val="20"/>
        </w:rPr>
      </w:pPr>
    </w:p>
    <w:sectPr w:rsidR="00F47BB7" w:rsidRPr="00F47BB7"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C434" w14:textId="77777777" w:rsidR="00B2130D" w:rsidRDefault="00B2130D" w:rsidP="00057BF6">
      <w:pPr>
        <w:spacing w:after="0" w:line="240" w:lineRule="auto"/>
      </w:pPr>
      <w:r>
        <w:separator/>
      </w:r>
    </w:p>
  </w:endnote>
  <w:endnote w:type="continuationSeparator" w:id="0">
    <w:p w14:paraId="2BA03498" w14:textId="77777777" w:rsidR="00B2130D" w:rsidRDefault="00B2130D" w:rsidP="00057BF6">
      <w:pPr>
        <w:spacing w:after="0" w:line="240" w:lineRule="auto"/>
      </w:pPr>
      <w:r>
        <w:continuationSeparator/>
      </w:r>
    </w:p>
  </w:endnote>
  <w:endnote w:type="continuationNotice" w:id="1">
    <w:p w14:paraId="1269F544" w14:textId="77777777" w:rsidR="00B2130D" w:rsidRDefault="00B213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C48D" w14:textId="77777777" w:rsidR="00B2130D" w:rsidRDefault="00B2130D" w:rsidP="00057BF6">
      <w:pPr>
        <w:spacing w:after="0" w:line="240" w:lineRule="auto"/>
      </w:pPr>
      <w:r>
        <w:separator/>
      </w:r>
    </w:p>
  </w:footnote>
  <w:footnote w:type="continuationSeparator" w:id="0">
    <w:p w14:paraId="6DF3C3A5" w14:textId="77777777" w:rsidR="00B2130D" w:rsidRDefault="00B2130D" w:rsidP="00057BF6">
      <w:pPr>
        <w:spacing w:after="0" w:line="240" w:lineRule="auto"/>
      </w:pPr>
      <w:r>
        <w:continuationSeparator/>
      </w:r>
    </w:p>
  </w:footnote>
  <w:footnote w:type="continuationNotice" w:id="1">
    <w:p w14:paraId="5A22A5BC" w14:textId="77777777" w:rsidR="00B2130D" w:rsidRDefault="00B213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4037CF0"/>
    <w:multiLevelType w:val="hybridMultilevel"/>
    <w:tmpl w:val="E32CC87A"/>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091DB4"/>
    <w:multiLevelType w:val="hybridMultilevel"/>
    <w:tmpl w:val="91D40BE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306FB6"/>
    <w:multiLevelType w:val="hybridMultilevel"/>
    <w:tmpl w:val="E05CDA0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61F09CC"/>
    <w:multiLevelType w:val="hybridMultilevel"/>
    <w:tmpl w:val="FD74E27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6E40B02"/>
    <w:multiLevelType w:val="hybridMultilevel"/>
    <w:tmpl w:val="705AA99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0181CC8"/>
    <w:multiLevelType w:val="hybridMultilevel"/>
    <w:tmpl w:val="C6A683C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24F2185"/>
    <w:multiLevelType w:val="hybridMultilevel"/>
    <w:tmpl w:val="D2C207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D43514D"/>
    <w:multiLevelType w:val="hybridMultilevel"/>
    <w:tmpl w:val="9D72C66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0840B51"/>
    <w:multiLevelType w:val="hybridMultilevel"/>
    <w:tmpl w:val="2AA67D94"/>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2A30556"/>
    <w:multiLevelType w:val="multilevel"/>
    <w:tmpl w:val="C25E1E1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8CE242C"/>
    <w:multiLevelType w:val="hybridMultilevel"/>
    <w:tmpl w:val="EC0E7AB0"/>
    <w:lvl w:ilvl="0" w:tplc="240A0019">
      <w:start w:val="1"/>
      <w:numFmt w:val="lowerLetter"/>
      <w:lvlText w:val="%1."/>
      <w:lvlJc w:val="left"/>
      <w:pPr>
        <w:tabs>
          <w:tab w:val="num" w:pos="720"/>
        </w:tabs>
        <w:ind w:left="720" w:hanging="360"/>
      </w:pPr>
      <w:rPr>
        <w:rFonts w:hint="default"/>
      </w:rPr>
    </w:lvl>
    <w:lvl w:ilvl="1" w:tplc="FFFFFFFF">
      <w:start w:val="5"/>
      <w:numFmt w:val="bullet"/>
      <w:lvlText w:val="-"/>
      <w:lvlJc w:val="left"/>
      <w:pPr>
        <w:tabs>
          <w:tab w:val="num" w:pos="1440"/>
        </w:tabs>
        <w:ind w:left="1440" w:hanging="360"/>
      </w:pPr>
      <w:rPr>
        <w:rFonts w:ascii="Arial" w:eastAsia="Times New Roman" w:hAnsi="Arial" w:cs="Arial" w:hint="default"/>
      </w:rPr>
    </w:lvl>
    <w:lvl w:ilvl="2" w:tplc="FFFFFFFF">
      <w:start w:val="2"/>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7A2032F"/>
    <w:multiLevelType w:val="hybridMultilevel"/>
    <w:tmpl w:val="9B64EF9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9117A5A"/>
    <w:multiLevelType w:val="hybridMultilevel"/>
    <w:tmpl w:val="4698B5C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B6310D2"/>
    <w:multiLevelType w:val="hybridMultilevel"/>
    <w:tmpl w:val="F1B8ACD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435568">
    <w:abstractNumId w:val="15"/>
  </w:num>
  <w:num w:numId="2" w16cid:durableId="1362513633">
    <w:abstractNumId w:val="0"/>
  </w:num>
  <w:num w:numId="3" w16cid:durableId="798954376">
    <w:abstractNumId w:val="10"/>
  </w:num>
  <w:num w:numId="4" w16cid:durableId="1834879362">
    <w:abstractNumId w:val="11"/>
  </w:num>
  <w:num w:numId="5" w16cid:durableId="1788234891">
    <w:abstractNumId w:val="6"/>
  </w:num>
  <w:num w:numId="6" w16cid:durableId="1852061680">
    <w:abstractNumId w:val="5"/>
  </w:num>
  <w:num w:numId="7" w16cid:durableId="879781907">
    <w:abstractNumId w:val="14"/>
  </w:num>
  <w:num w:numId="8" w16cid:durableId="257449278">
    <w:abstractNumId w:val="12"/>
  </w:num>
  <w:num w:numId="9" w16cid:durableId="553077248">
    <w:abstractNumId w:val="2"/>
  </w:num>
  <w:num w:numId="10" w16cid:durableId="1451850739">
    <w:abstractNumId w:val="13"/>
  </w:num>
  <w:num w:numId="11" w16cid:durableId="471096373">
    <w:abstractNumId w:val="3"/>
  </w:num>
  <w:num w:numId="12" w16cid:durableId="489256912">
    <w:abstractNumId w:val="4"/>
  </w:num>
  <w:num w:numId="13" w16cid:durableId="636497023">
    <w:abstractNumId w:val="8"/>
  </w:num>
  <w:num w:numId="14" w16cid:durableId="1624386662">
    <w:abstractNumId w:val="1"/>
  </w:num>
  <w:num w:numId="15" w16cid:durableId="1206212070">
    <w:abstractNumId w:val="9"/>
  </w:num>
  <w:num w:numId="16" w16cid:durableId="116224048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0552"/>
    <w:rsid w:val="00002FBE"/>
    <w:rsid w:val="00004ACC"/>
    <w:rsid w:val="00014533"/>
    <w:rsid w:val="000173B5"/>
    <w:rsid w:val="00024C01"/>
    <w:rsid w:val="00025D31"/>
    <w:rsid w:val="00030099"/>
    <w:rsid w:val="00031095"/>
    <w:rsid w:val="0003132C"/>
    <w:rsid w:val="00033D6C"/>
    <w:rsid w:val="00054CCD"/>
    <w:rsid w:val="00057BF6"/>
    <w:rsid w:val="00060402"/>
    <w:rsid w:val="000663E3"/>
    <w:rsid w:val="000664D0"/>
    <w:rsid w:val="0006736C"/>
    <w:rsid w:val="00085771"/>
    <w:rsid w:val="0009284F"/>
    <w:rsid w:val="00092D6B"/>
    <w:rsid w:val="00093DA7"/>
    <w:rsid w:val="00095D25"/>
    <w:rsid w:val="000A1D07"/>
    <w:rsid w:val="000C61C7"/>
    <w:rsid w:val="000C72AC"/>
    <w:rsid w:val="000D40FB"/>
    <w:rsid w:val="000D5EBE"/>
    <w:rsid w:val="000F0FBE"/>
    <w:rsid w:val="000F11A8"/>
    <w:rsid w:val="000F5A83"/>
    <w:rsid w:val="000F5B27"/>
    <w:rsid w:val="0011367B"/>
    <w:rsid w:val="00113F5A"/>
    <w:rsid w:val="00123E32"/>
    <w:rsid w:val="00145AD7"/>
    <w:rsid w:val="00146DB5"/>
    <w:rsid w:val="001521AC"/>
    <w:rsid w:val="00152417"/>
    <w:rsid w:val="001525AB"/>
    <w:rsid w:val="00152CFA"/>
    <w:rsid w:val="00157BFD"/>
    <w:rsid w:val="001603F5"/>
    <w:rsid w:val="00161420"/>
    <w:rsid w:val="001626DB"/>
    <w:rsid w:val="0016403F"/>
    <w:rsid w:val="00165D20"/>
    <w:rsid w:val="001755F9"/>
    <w:rsid w:val="00181567"/>
    <w:rsid w:val="00182AEE"/>
    <w:rsid w:val="00185381"/>
    <w:rsid w:val="001A281B"/>
    <w:rsid w:val="001A5AF2"/>
    <w:rsid w:val="001A5B66"/>
    <w:rsid w:val="001B27CE"/>
    <w:rsid w:val="001B5187"/>
    <w:rsid w:val="001C6ED7"/>
    <w:rsid w:val="001D4227"/>
    <w:rsid w:val="001D499A"/>
    <w:rsid w:val="001D6A75"/>
    <w:rsid w:val="001F5EB1"/>
    <w:rsid w:val="001F7B0A"/>
    <w:rsid w:val="00200C5F"/>
    <w:rsid w:val="00200D7D"/>
    <w:rsid w:val="00205648"/>
    <w:rsid w:val="00213DC6"/>
    <w:rsid w:val="00215CA8"/>
    <w:rsid w:val="0021666A"/>
    <w:rsid w:val="002316D9"/>
    <w:rsid w:val="002357BB"/>
    <w:rsid w:val="00236E8D"/>
    <w:rsid w:val="00245E68"/>
    <w:rsid w:val="00267383"/>
    <w:rsid w:val="002766DB"/>
    <w:rsid w:val="00280803"/>
    <w:rsid w:val="00280CBC"/>
    <w:rsid w:val="00283405"/>
    <w:rsid w:val="00291FE8"/>
    <w:rsid w:val="002A3466"/>
    <w:rsid w:val="002A4BB7"/>
    <w:rsid w:val="002B426D"/>
    <w:rsid w:val="002B4E75"/>
    <w:rsid w:val="002B4F4A"/>
    <w:rsid w:val="002F5852"/>
    <w:rsid w:val="002F5CF4"/>
    <w:rsid w:val="00305DFE"/>
    <w:rsid w:val="00316EA6"/>
    <w:rsid w:val="00334FA4"/>
    <w:rsid w:val="003360A4"/>
    <w:rsid w:val="003365CA"/>
    <w:rsid w:val="00336EFF"/>
    <w:rsid w:val="003370AE"/>
    <w:rsid w:val="0034184A"/>
    <w:rsid w:val="0034273F"/>
    <w:rsid w:val="00356203"/>
    <w:rsid w:val="00357CC2"/>
    <w:rsid w:val="00362954"/>
    <w:rsid w:val="00363A69"/>
    <w:rsid w:val="0036407F"/>
    <w:rsid w:val="003811D6"/>
    <w:rsid w:val="00382E7D"/>
    <w:rsid w:val="00384CF8"/>
    <w:rsid w:val="00387B3E"/>
    <w:rsid w:val="00390089"/>
    <w:rsid w:val="003967EF"/>
    <w:rsid w:val="00396ACA"/>
    <w:rsid w:val="003A3567"/>
    <w:rsid w:val="003A5CFE"/>
    <w:rsid w:val="003A5D66"/>
    <w:rsid w:val="003B0831"/>
    <w:rsid w:val="003B4406"/>
    <w:rsid w:val="003B5CF0"/>
    <w:rsid w:val="003B6134"/>
    <w:rsid w:val="003C05B9"/>
    <w:rsid w:val="003C18F1"/>
    <w:rsid w:val="003C558F"/>
    <w:rsid w:val="003D3CFD"/>
    <w:rsid w:val="003D6BE3"/>
    <w:rsid w:val="003E09E4"/>
    <w:rsid w:val="003E76AC"/>
    <w:rsid w:val="003E77C2"/>
    <w:rsid w:val="003F7A06"/>
    <w:rsid w:val="004001A3"/>
    <w:rsid w:val="0040498E"/>
    <w:rsid w:val="00405030"/>
    <w:rsid w:val="00406D2B"/>
    <w:rsid w:val="0041502E"/>
    <w:rsid w:val="00417B42"/>
    <w:rsid w:val="00423617"/>
    <w:rsid w:val="00424465"/>
    <w:rsid w:val="0043223D"/>
    <w:rsid w:val="004362B9"/>
    <w:rsid w:val="00453D6A"/>
    <w:rsid w:val="004709C7"/>
    <w:rsid w:val="00482B7C"/>
    <w:rsid w:val="00482C3E"/>
    <w:rsid w:val="004A1126"/>
    <w:rsid w:val="004A683C"/>
    <w:rsid w:val="004B4261"/>
    <w:rsid w:val="004B7071"/>
    <w:rsid w:val="004C5DE6"/>
    <w:rsid w:val="004C75CE"/>
    <w:rsid w:val="004D3773"/>
    <w:rsid w:val="004D5384"/>
    <w:rsid w:val="004D71B8"/>
    <w:rsid w:val="004F70F9"/>
    <w:rsid w:val="00507D51"/>
    <w:rsid w:val="00507EA6"/>
    <w:rsid w:val="00520CAA"/>
    <w:rsid w:val="00524EEF"/>
    <w:rsid w:val="00526EE4"/>
    <w:rsid w:val="00544A86"/>
    <w:rsid w:val="00546705"/>
    <w:rsid w:val="0055785C"/>
    <w:rsid w:val="00557FD7"/>
    <w:rsid w:val="005657D0"/>
    <w:rsid w:val="00566DA8"/>
    <w:rsid w:val="00576CC2"/>
    <w:rsid w:val="00585792"/>
    <w:rsid w:val="0059120D"/>
    <w:rsid w:val="005929C5"/>
    <w:rsid w:val="00596B88"/>
    <w:rsid w:val="005A2C83"/>
    <w:rsid w:val="005B2DB1"/>
    <w:rsid w:val="005C0ADE"/>
    <w:rsid w:val="005C3464"/>
    <w:rsid w:val="005C766F"/>
    <w:rsid w:val="005D38DF"/>
    <w:rsid w:val="005D47BA"/>
    <w:rsid w:val="005D6A12"/>
    <w:rsid w:val="005E4BA8"/>
    <w:rsid w:val="005F2BC8"/>
    <w:rsid w:val="005F528B"/>
    <w:rsid w:val="006057BF"/>
    <w:rsid w:val="0060647C"/>
    <w:rsid w:val="0061423F"/>
    <w:rsid w:val="00615E26"/>
    <w:rsid w:val="00616D03"/>
    <w:rsid w:val="0062782A"/>
    <w:rsid w:val="006304AC"/>
    <w:rsid w:val="00636D77"/>
    <w:rsid w:val="006534EB"/>
    <w:rsid w:val="00653A38"/>
    <w:rsid w:val="006560CA"/>
    <w:rsid w:val="00656ADB"/>
    <w:rsid w:val="00664219"/>
    <w:rsid w:val="006747BA"/>
    <w:rsid w:val="00675682"/>
    <w:rsid w:val="006910A1"/>
    <w:rsid w:val="00692172"/>
    <w:rsid w:val="00693262"/>
    <w:rsid w:val="006A0485"/>
    <w:rsid w:val="006A2D5E"/>
    <w:rsid w:val="006B0B52"/>
    <w:rsid w:val="006B54BE"/>
    <w:rsid w:val="006C1DD7"/>
    <w:rsid w:val="006C2420"/>
    <w:rsid w:val="006C6132"/>
    <w:rsid w:val="006D5925"/>
    <w:rsid w:val="007105A8"/>
    <w:rsid w:val="00711B5A"/>
    <w:rsid w:val="00720C87"/>
    <w:rsid w:val="00721D02"/>
    <w:rsid w:val="007421CE"/>
    <w:rsid w:val="00753092"/>
    <w:rsid w:val="007722FA"/>
    <w:rsid w:val="007806BA"/>
    <w:rsid w:val="00785A5E"/>
    <w:rsid w:val="007A302E"/>
    <w:rsid w:val="007A4048"/>
    <w:rsid w:val="007A4231"/>
    <w:rsid w:val="007B1AC0"/>
    <w:rsid w:val="007B4FE8"/>
    <w:rsid w:val="007B5416"/>
    <w:rsid w:val="007D12A0"/>
    <w:rsid w:val="007D6A20"/>
    <w:rsid w:val="007E2D71"/>
    <w:rsid w:val="007F3523"/>
    <w:rsid w:val="007F6C98"/>
    <w:rsid w:val="008049EA"/>
    <w:rsid w:val="00804F70"/>
    <w:rsid w:val="00822516"/>
    <w:rsid w:val="0082329A"/>
    <w:rsid w:val="008239B0"/>
    <w:rsid w:val="00830E16"/>
    <w:rsid w:val="0083488F"/>
    <w:rsid w:val="00836FA8"/>
    <w:rsid w:val="00840DD3"/>
    <w:rsid w:val="00843427"/>
    <w:rsid w:val="008445EB"/>
    <w:rsid w:val="00844A61"/>
    <w:rsid w:val="008534B0"/>
    <w:rsid w:val="00866389"/>
    <w:rsid w:val="008701C3"/>
    <w:rsid w:val="008831F8"/>
    <w:rsid w:val="00886D3F"/>
    <w:rsid w:val="008C10A5"/>
    <w:rsid w:val="008C4071"/>
    <w:rsid w:val="008C65C4"/>
    <w:rsid w:val="008D6294"/>
    <w:rsid w:val="008E4B0F"/>
    <w:rsid w:val="008E580C"/>
    <w:rsid w:val="008E5BC4"/>
    <w:rsid w:val="008E6336"/>
    <w:rsid w:val="00900535"/>
    <w:rsid w:val="00907CD8"/>
    <w:rsid w:val="00910454"/>
    <w:rsid w:val="009112A0"/>
    <w:rsid w:val="0091247D"/>
    <w:rsid w:val="009232EA"/>
    <w:rsid w:val="009254B0"/>
    <w:rsid w:val="00941B58"/>
    <w:rsid w:val="00943229"/>
    <w:rsid w:val="00956EC8"/>
    <w:rsid w:val="009571FD"/>
    <w:rsid w:val="00972454"/>
    <w:rsid w:val="00972678"/>
    <w:rsid w:val="00973A64"/>
    <w:rsid w:val="00975AF0"/>
    <w:rsid w:val="00993A68"/>
    <w:rsid w:val="009A11BD"/>
    <w:rsid w:val="009A2823"/>
    <w:rsid w:val="009B6D85"/>
    <w:rsid w:val="009B722B"/>
    <w:rsid w:val="009B7755"/>
    <w:rsid w:val="009C367E"/>
    <w:rsid w:val="009C4738"/>
    <w:rsid w:val="009C536A"/>
    <w:rsid w:val="009D0194"/>
    <w:rsid w:val="009D2160"/>
    <w:rsid w:val="009D6003"/>
    <w:rsid w:val="009D6127"/>
    <w:rsid w:val="009E3D08"/>
    <w:rsid w:val="009E6D98"/>
    <w:rsid w:val="00A0228E"/>
    <w:rsid w:val="00A147E9"/>
    <w:rsid w:val="00A25E4C"/>
    <w:rsid w:val="00A41E5E"/>
    <w:rsid w:val="00A477A6"/>
    <w:rsid w:val="00A538F9"/>
    <w:rsid w:val="00A555FC"/>
    <w:rsid w:val="00A6530A"/>
    <w:rsid w:val="00A666F0"/>
    <w:rsid w:val="00A67B54"/>
    <w:rsid w:val="00A743BB"/>
    <w:rsid w:val="00A74595"/>
    <w:rsid w:val="00A76E83"/>
    <w:rsid w:val="00A815FE"/>
    <w:rsid w:val="00A9232C"/>
    <w:rsid w:val="00A96239"/>
    <w:rsid w:val="00AA131C"/>
    <w:rsid w:val="00AD22CE"/>
    <w:rsid w:val="00AD5FDC"/>
    <w:rsid w:val="00AD7A8C"/>
    <w:rsid w:val="00AE179A"/>
    <w:rsid w:val="00AE63DC"/>
    <w:rsid w:val="00AF658E"/>
    <w:rsid w:val="00AF6DC1"/>
    <w:rsid w:val="00B003B1"/>
    <w:rsid w:val="00B037BC"/>
    <w:rsid w:val="00B053A5"/>
    <w:rsid w:val="00B05C59"/>
    <w:rsid w:val="00B05D89"/>
    <w:rsid w:val="00B10938"/>
    <w:rsid w:val="00B14604"/>
    <w:rsid w:val="00B146E2"/>
    <w:rsid w:val="00B2130D"/>
    <w:rsid w:val="00B22426"/>
    <w:rsid w:val="00B234BC"/>
    <w:rsid w:val="00B241AF"/>
    <w:rsid w:val="00B274AB"/>
    <w:rsid w:val="00B27B30"/>
    <w:rsid w:val="00B32C85"/>
    <w:rsid w:val="00B42AA7"/>
    <w:rsid w:val="00B538FC"/>
    <w:rsid w:val="00B61739"/>
    <w:rsid w:val="00B669EB"/>
    <w:rsid w:val="00B70191"/>
    <w:rsid w:val="00B72F26"/>
    <w:rsid w:val="00B7510B"/>
    <w:rsid w:val="00BB4789"/>
    <w:rsid w:val="00BB5176"/>
    <w:rsid w:val="00BC14D3"/>
    <w:rsid w:val="00BD0756"/>
    <w:rsid w:val="00BD169D"/>
    <w:rsid w:val="00BD4A16"/>
    <w:rsid w:val="00BD619B"/>
    <w:rsid w:val="00BF65C1"/>
    <w:rsid w:val="00C00956"/>
    <w:rsid w:val="00C01296"/>
    <w:rsid w:val="00C01767"/>
    <w:rsid w:val="00C076B7"/>
    <w:rsid w:val="00C24BB5"/>
    <w:rsid w:val="00C36A77"/>
    <w:rsid w:val="00C40EB8"/>
    <w:rsid w:val="00C53C89"/>
    <w:rsid w:val="00C544AA"/>
    <w:rsid w:val="00C55F0B"/>
    <w:rsid w:val="00C630B9"/>
    <w:rsid w:val="00C63416"/>
    <w:rsid w:val="00C7075A"/>
    <w:rsid w:val="00C70EE5"/>
    <w:rsid w:val="00C77AC9"/>
    <w:rsid w:val="00C861F6"/>
    <w:rsid w:val="00C87B46"/>
    <w:rsid w:val="00C91F05"/>
    <w:rsid w:val="00C9236D"/>
    <w:rsid w:val="00C946E9"/>
    <w:rsid w:val="00C977A0"/>
    <w:rsid w:val="00CC1FBC"/>
    <w:rsid w:val="00CC3647"/>
    <w:rsid w:val="00CC6142"/>
    <w:rsid w:val="00CD021C"/>
    <w:rsid w:val="00CF1997"/>
    <w:rsid w:val="00CF2381"/>
    <w:rsid w:val="00CF3EAB"/>
    <w:rsid w:val="00D00C85"/>
    <w:rsid w:val="00D02523"/>
    <w:rsid w:val="00D05FE9"/>
    <w:rsid w:val="00D101F4"/>
    <w:rsid w:val="00D10DBE"/>
    <w:rsid w:val="00D12232"/>
    <w:rsid w:val="00D15CCA"/>
    <w:rsid w:val="00D166E5"/>
    <w:rsid w:val="00D21CB0"/>
    <w:rsid w:val="00D23DEA"/>
    <w:rsid w:val="00D26CD2"/>
    <w:rsid w:val="00D34337"/>
    <w:rsid w:val="00D43124"/>
    <w:rsid w:val="00D57993"/>
    <w:rsid w:val="00D75770"/>
    <w:rsid w:val="00D91C94"/>
    <w:rsid w:val="00D938BD"/>
    <w:rsid w:val="00D93EE6"/>
    <w:rsid w:val="00DA0C0E"/>
    <w:rsid w:val="00DA670F"/>
    <w:rsid w:val="00DA7CA9"/>
    <w:rsid w:val="00DB3370"/>
    <w:rsid w:val="00DB4523"/>
    <w:rsid w:val="00DD0093"/>
    <w:rsid w:val="00DD40D2"/>
    <w:rsid w:val="00DD5A42"/>
    <w:rsid w:val="00DE7EE4"/>
    <w:rsid w:val="00DF49B2"/>
    <w:rsid w:val="00E00C5F"/>
    <w:rsid w:val="00E027B2"/>
    <w:rsid w:val="00E03CCC"/>
    <w:rsid w:val="00E11E89"/>
    <w:rsid w:val="00E32704"/>
    <w:rsid w:val="00E36D12"/>
    <w:rsid w:val="00E37E7E"/>
    <w:rsid w:val="00E47B72"/>
    <w:rsid w:val="00E518D2"/>
    <w:rsid w:val="00E52CA7"/>
    <w:rsid w:val="00E6512F"/>
    <w:rsid w:val="00E6764B"/>
    <w:rsid w:val="00E710E7"/>
    <w:rsid w:val="00E73EE2"/>
    <w:rsid w:val="00E83F80"/>
    <w:rsid w:val="00E84626"/>
    <w:rsid w:val="00E93F8C"/>
    <w:rsid w:val="00EA507C"/>
    <w:rsid w:val="00EB12A8"/>
    <w:rsid w:val="00EC461E"/>
    <w:rsid w:val="00ED3FD6"/>
    <w:rsid w:val="00ED40B7"/>
    <w:rsid w:val="00EE250F"/>
    <w:rsid w:val="00EE3A1A"/>
    <w:rsid w:val="00EF0908"/>
    <w:rsid w:val="00EF5718"/>
    <w:rsid w:val="00EF5FDC"/>
    <w:rsid w:val="00F011D2"/>
    <w:rsid w:val="00F017CF"/>
    <w:rsid w:val="00F12808"/>
    <w:rsid w:val="00F352E2"/>
    <w:rsid w:val="00F404C8"/>
    <w:rsid w:val="00F41689"/>
    <w:rsid w:val="00F41F29"/>
    <w:rsid w:val="00F47BB7"/>
    <w:rsid w:val="00F54BA2"/>
    <w:rsid w:val="00F6118C"/>
    <w:rsid w:val="00F72B37"/>
    <w:rsid w:val="00F920DD"/>
    <w:rsid w:val="00F9375B"/>
    <w:rsid w:val="00F93D61"/>
    <w:rsid w:val="00FB6E0F"/>
    <w:rsid w:val="00FC1199"/>
    <w:rsid w:val="00FD36A0"/>
    <w:rsid w:val="00FD42C8"/>
    <w:rsid w:val="00FE27D1"/>
    <w:rsid w:val="00FF0E94"/>
    <w:rsid w:val="145282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DA460528-FA09-461D-A053-D6A783A0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character" w:customStyle="1" w:styleId="normaltextrun">
    <w:name w:val="normaltextrun"/>
    <w:basedOn w:val="Fuentedeprrafopredeter"/>
    <w:rsid w:val="0059120D"/>
  </w:style>
  <w:style w:type="paragraph" w:customStyle="1" w:styleId="paragraph">
    <w:name w:val="paragraph"/>
    <w:basedOn w:val="Normal"/>
    <w:rsid w:val="0059120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3">
    <w:name w:val="Body Text 3"/>
    <w:basedOn w:val="Normal"/>
    <w:link w:val="Textoindependiente3Car"/>
    <w:uiPriority w:val="99"/>
    <w:semiHidden/>
    <w:unhideWhenUsed/>
    <w:rsid w:val="0059120D"/>
    <w:pPr>
      <w:spacing w:after="120" w:line="240" w:lineRule="auto"/>
    </w:pPr>
    <w:rPr>
      <w:rFonts w:ascii="Times New Roman" w:eastAsia="Times New Roman" w:hAnsi="Times New Roman" w:cs="Times New Roman"/>
      <w:kern w:val="0"/>
      <w:sz w:val="16"/>
      <w:szCs w:val="16"/>
      <w:lang w:val="es-ES" w:eastAsia="es-ES"/>
      <w14:ligatures w14:val="none"/>
    </w:rPr>
  </w:style>
  <w:style w:type="character" w:customStyle="1" w:styleId="Textoindependiente3Car">
    <w:name w:val="Texto independiente 3 Car"/>
    <w:basedOn w:val="Fuentedeprrafopredeter"/>
    <w:link w:val="Textoindependiente3"/>
    <w:uiPriority w:val="99"/>
    <w:semiHidden/>
    <w:rsid w:val="0059120D"/>
    <w:rPr>
      <w:rFonts w:ascii="Times New Roman" w:eastAsia="Times New Roman" w:hAnsi="Times New Roman" w:cs="Times New Roman"/>
      <w:kern w:val="0"/>
      <w:sz w:val="16"/>
      <w:szCs w:val="16"/>
      <w:lang w:val="es-ES" w:eastAsia="es-ES"/>
      <w14:ligatures w14:val="none"/>
    </w:rPr>
  </w:style>
  <w:style w:type="character" w:styleId="Textodelmarcadordeposicin">
    <w:name w:val="Placeholder Text"/>
    <w:basedOn w:val="Fuentedeprrafopredeter"/>
    <w:uiPriority w:val="99"/>
    <w:semiHidden/>
    <w:rsid w:val="001F5EB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EA8C61-357A-4E66-9E09-409AC5A1D9B0}">
  <ds:schemaRefs>
    <ds:schemaRef ds:uri="http://schemas.openxmlformats.org/officeDocument/2006/bibliography"/>
  </ds:schemaRefs>
</ds:datastoreItem>
</file>

<file path=customXml/itemProps2.xml><?xml version="1.0" encoding="utf-8"?>
<ds:datastoreItem xmlns:ds="http://schemas.openxmlformats.org/officeDocument/2006/customXml" ds:itemID="{0DFF0E48-35D5-4BAC-889B-383B8F140AA7}">
  <ds:schemaRefs>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9056d983-1374-4724-9f8d-2ef5b64379db"/>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4.xml><?xml version="1.0" encoding="utf-8"?>
<ds:datastoreItem xmlns:ds="http://schemas.openxmlformats.org/officeDocument/2006/customXml" ds:itemID="{6B416AD5-9CFA-41AF-9171-E92192645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Pages>
  <Words>3035</Words>
  <Characters>15971</Characters>
  <Application>Microsoft Office Word</Application>
  <DocSecurity>0</DocSecurity>
  <Lines>434</Lines>
  <Paragraphs>232</Paragraphs>
  <ScaleCrop>false</ScaleCrop>
  <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287</cp:revision>
  <dcterms:created xsi:type="dcterms:W3CDTF">2024-12-17T00:03:00Z</dcterms:created>
  <dcterms:modified xsi:type="dcterms:W3CDTF">2026-04-13T13:52:00Z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90900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es</vt:lpwstr>
  </property>
</Properties>
</file>